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8EBA" w14:textId="5AB1D1EC" w:rsidR="007B6A38" w:rsidRDefault="00C4059E" w:rsidP="00C4059E">
      <w:pPr>
        <w:pStyle w:val="Heading1"/>
      </w:pPr>
      <w:r>
        <w:t>202</w:t>
      </w:r>
      <w:r w:rsidR="00D43EEB">
        <w:t>5</w:t>
      </w:r>
      <w:r>
        <w:t xml:space="preserve"> CIL Annual Report Plain Text Version</w:t>
      </w:r>
    </w:p>
    <w:p w14:paraId="00652BE5" w14:textId="77777777" w:rsidR="00264AEE" w:rsidRDefault="00C4059E" w:rsidP="00C4059E">
      <w:pPr>
        <w:pStyle w:val="Heading2"/>
      </w:pPr>
      <w:r>
        <w:t xml:space="preserve">Cover </w:t>
      </w:r>
      <w:r w:rsidR="00264AEE">
        <w:t>Page</w:t>
      </w:r>
    </w:p>
    <w:p w14:paraId="28C7C08B" w14:textId="5215B7A1" w:rsidR="00FD4933" w:rsidRDefault="00FD4933" w:rsidP="00C4059E">
      <w:pPr>
        <w:pStyle w:val="Heading2"/>
        <w:rPr>
          <w:rFonts w:asciiTheme="minorHAnsi" w:eastAsiaTheme="minorHAnsi" w:hAnsiTheme="minorHAnsi" w:cstheme="minorBidi"/>
          <w:color w:val="auto"/>
          <w:sz w:val="22"/>
          <w:szCs w:val="22"/>
        </w:rPr>
      </w:pPr>
      <w:r w:rsidRPr="00FD4933">
        <w:rPr>
          <w:rFonts w:asciiTheme="minorHAnsi" w:eastAsiaTheme="minorHAnsi" w:hAnsiTheme="minorHAnsi" w:cstheme="minorBidi"/>
          <w:color w:val="auto"/>
          <w:sz w:val="22"/>
          <w:szCs w:val="22"/>
        </w:rPr>
        <w:t xml:space="preserve">Cover of the 2025 CIL Annual Report titled </w:t>
      </w:r>
      <w:r w:rsidRPr="00FD4933">
        <w:rPr>
          <w:rFonts w:asciiTheme="minorHAnsi" w:eastAsiaTheme="minorHAnsi" w:hAnsiTheme="minorHAnsi" w:cstheme="minorBidi"/>
          <w:i/>
          <w:iCs/>
          <w:color w:val="auto"/>
          <w:sz w:val="22"/>
          <w:szCs w:val="22"/>
        </w:rPr>
        <w:t>Dollars and Sense</w:t>
      </w:r>
      <w:r w:rsidRPr="00FD4933">
        <w:rPr>
          <w:rFonts w:asciiTheme="minorHAnsi" w:eastAsiaTheme="minorHAnsi" w:hAnsiTheme="minorHAnsi" w:cstheme="minorBidi"/>
          <w:color w:val="auto"/>
          <w:sz w:val="22"/>
          <w:szCs w:val="22"/>
        </w:rPr>
        <w:t>. The background is a collage of coins, paper money, and newspaper text. A blue circular graphic contains the words ‘Annual Report – Corporation for Independent Living,’ with the CIL logo at the bottom right.</w:t>
      </w:r>
    </w:p>
    <w:p w14:paraId="09FA55D6" w14:textId="4BEEF09A" w:rsidR="00D43EEB" w:rsidRDefault="00D43EEB" w:rsidP="00C4059E">
      <w:pPr>
        <w:pStyle w:val="Heading2"/>
      </w:pPr>
      <w:r>
        <w:t xml:space="preserve">Inside </w:t>
      </w:r>
      <w:r w:rsidR="00AE6CEF">
        <w:t>Spread</w:t>
      </w:r>
    </w:p>
    <w:p w14:paraId="23E25912" w14:textId="1AC41B09" w:rsidR="00D43EEB" w:rsidRDefault="00D43EEB" w:rsidP="00D43EEB">
      <w:r w:rsidRPr="00AE6CEF">
        <w:rPr>
          <w:b/>
          <w:bCs/>
        </w:rPr>
        <w:t>[Graphic Description</w:t>
      </w:r>
      <w:r w:rsidRPr="00AE6CEF">
        <w:t xml:space="preserve">: </w:t>
      </w:r>
      <w:r w:rsidR="00AE6CEF">
        <w:t xml:space="preserve">The left </w:t>
      </w:r>
      <w:proofErr w:type="gramStart"/>
      <w:r w:rsidR="00AE6CEF">
        <w:t>sided</w:t>
      </w:r>
      <w:proofErr w:type="gramEnd"/>
      <w:r w:rsidR="00AE6CEF">
        <w:t xml:space="preserve"> of this two-page spread</w:t>
      </w:r>
      <w:r w:rsidR="00AE6CEF" w:rsidRPr="00AE6CEF">
        <w:t xml:space="preserve"> has a green background with the heading ‘Why Dollars &amp; Sense?’ followed by text explaining CIL’s 2025 financial strategy and the theme of the report. The right page has a light green background with images of piggy banks spilling cash and coins. A table of contents is listed on the right</w:t>
      </w:r>
      <w:r w:rsidR="00AE6CEF" w:rsidRPr="00AE6CEF">
        <w:t>.</w:t>
      </w:r>
      <w:r w:rsidR="00AE6CEF" w:rsidRPr="00AE6CEF">
        <w:rPr>
          <w:b/>
          <w:bCs/>
        </w:rPr>
        <w:t>]</w:t>
      </w:r>
    </w:p>
    <w:p w14:paraId="27AF616E" w14:textId="5065C3CB" w:rsidR="00D43EEB" w:rsidRDefault="00D43EEB" w:rsidP="00AE6CEF">
      <w:pPr>
        <w:pStyle w:val="Heading3"/>
      </w:pPr>
      <w:r>
        <w:t xml:space="preserve">Why Dollars &amp; Sense? </w:t>
      </w:r>
    </w:p>
    <w:p w14:paraId="3002DE2B" w14:textId="143653EC" w:rsidR="00D43EEB" w:rsidRPr="00D43EEB" w:rsidRDefault="00D43EEB" w:rsidP="00D43EEB">
      <w:r w:rsidRPr="00D43EEB">
        <w:t>In 2025, we made big financial moves—switching our credit line, closing a bond, and making smart decisions that stretched every dollar further for our mission. This year’s theme is a nod to the practical magic of nonprofit finance: equal parts dollars and sense. Because being mission-driven doesn’t mean we can’t be financially savvy, too.</w:t>
      </w:r>
    </w:p>
    <w:p w14:paraId="3CFFEF7E" w14:textId="1C692D44" w:rsidR="00C4059E" w:rsidRDefault="00C4059E" w:rsidP="00AE6CEF">
      <w:pPr>
        <w:pStyle w:val="Heading3"/>
      </w:pPr>
      <w:r>
        <w:t>Table Of Contents</w:t>
      </w:r>
    </w:p>
    <w:p w14:paraId="3FE10708" w14:textId="6A164DDB" w:rsidR="00D43EEB" w:rsidRPr="00D43EEB" w:rsidRDefault="00D43EEB" w:rsidP="00D43EEB">
      <w:r w:rsidRPr="00D43EEB">
        <w:t>Thoughts from the CEO</w:t>
      </w:r>
      <w:r>
        <w:t xml:space="preserve"> 04</w:t>
      </w:r>
    </w:p>
    <w:p w14:paraId="09217DD6" w14:textId="4FBE9FE0" w:rsidR="00D43EEB" w:rsidRPr="00D43EEB" w:rsidRDefault="00D43EEB" w:rsidP="00D43EEB">
      <w:r>
        <w:t>F</w:t>
      </w:r>
      <w:r w:rsidRPr="00D43EEB">
        <w:t>ueling the Future</w:t>
      </w:r>
      <w:r>
        <w:t xml:space="preserve"> 06</w:t>
      </w:r>
    </w:p>
    <w:p w14:paraId="3CE19539" w14:textId="13040151" w:rsidR="00D43EEB" w:rsidRPr="00D43EEB" w:rsidRDefault="00D43EEB" w:rsidP="00D43EEB">
      <w:r w:rsidRPr="00D43EEB">
        <w:t>Photo Essay: The Arc of Plymouth Duplex</w:t>
      </w:r>
      <w:r>
        <w:t xml:space="preserve"> 08</w:t>
      </w:r>
    </w:p>
    <w:p w14:paraId="493D678E" w14:textId="73C6C472" w:rsidR="00D43EEB" w:rsidRDefault="00D43EEB" w:rsidP="00D43EEB">
      <w:r w:rsidRPr="00D43EEB">
        <w:t>Impact Report</w:t>
      </w:r>
      <w:r>
        <w:t xml:space="preserve"> 12</w:t>
      </w:r>
    </w:p>
    <w:p w14:paraId="2DFC194F" w14:textId="07915FC7" w:rsidR="00D43EEB" w:rsidRPr="00D43EEB" w:rsidRDefault="00D43EEB" w:rsidP="00D43EEB">
      <w:r w:rsidRPr="00D43EEB">
        <w:t>Beyond the Balance Sheet</w:t>
      </w:r>
      <w:r>
        <w:t xml:space="preserve"> 14</w:t>
      </w:r>
    </w:p>
    <w:p w14:paraId="7A9313D9" w14:textId="23B4BB82" w:rsidR="00D43EEB" w:rsidRPr="00D43EEB" w:rsidRDefault="00D43EEB" w:rsidP="00D43EEB">
      <w:r w:rsidRPr="00D43EEB">
        <w:t>The Door to Freedom: Angel’s Story</w:t>
      </w:r>
      <w:r>
        <w:t xml:space="preserve"> 17</w:t>
      </w:r>
    </w:p>
    <w:p w14:paraId="3C69007F" w14:textId="3468D5C6" w:rsidR="00D43EEB" w:rsidRPr="00D43EEB" w:rsidRDefault="00D43EEB" w:rsidP="00D43EEB">
      <w:r w:rsidRPr="00D43EEB">
        <w:t>Think Like a Developer</w:t>
      </w:r>
      <w:r>
        <w:t xml:space="preserve"> 18</w:t>
      </w:r>
    </w:p>
    <w:p w14:paraId="23E60DC5" w14:textId="78ACDE4E" w:rsidR="00D43EEB" w:rsidRPr="00D43EEB" w:rsidRDefault="00D43EEB" w:rsidP="00D43EEB">
      <w:r w:rsidRPr="00D43EEB">
        <w:t>Team News</w:t>
      </w:r>
      <w:r>
        <w:t xml:space="preserve"> 20</w:t>
      </w:r>
    </w:p>
    <w:p w14:paraId="72476D8B" w14:textId="5BAE22DF" w:rsidR="00D43EEB" w:rsidRPr="00D43EEB" w:rsidRDefault="00D43EEB" w:rsidP="00D43EEB">
      <w:pPr>
        <w:rPr>
          <w:rFonts w:asciiTheme="majorHAnsi" w:eastAsiaTheme="majorEastAsia" w:hAnsiTheme="majorHAnsi" w:cstheme="majorBidi"/>
          <w:color w:val="0F4761" w:themeColor="accent1" w:themeShade="BF"/>
          <w:sz w:val="32"/>
          <w:szCs w:val="32"/>
        </w:rPr>
      </w:pPr>
      <w:r w:rsidRPr="00D43EEB">
        <w:t>Board of Directors</w:t>
      </w:r>
      <w:r>
        <w:t xml:space="preserve"> 22</w:t>
      </w:r>
    </w:p>
    <w:p w14:paraId="33C09A18" w14:textId="569A2342" w:rsidR="00C4059E" w:rsidRDefault="00C4059E" w:rsidP="00D43EEB">
      <w:pPr>
        <w:pStyle w:val="Heading2"/>
      </w:pPr>
      <w:r>
        <w:t>Thoughts from the CEO</w:t>
      </w:r>
    </w:p>
    <w:p w14:paraId="7DB00197" w14:textId="5E0FE88E" w:rsidR="00947776" w:rsidRDefault="00947776" w:rsidP="00947776">
      <w:r w:rsidRPr="00947776">
        <w:rPr>
          <w:b/>
          <w:bCs/>
        </w:rPr>
        <w:t>[Graphic Description</w:t>
      </w:r>
      <w:r>
        <w:t xml:space="preserve">: </w:t>
      </w:r>
      <w:r w:rsidRPr="0003083B">
        <w:t xml:space="preserve">A two-page spread features a message from Kent Schwendy, </w:t>
      </w:r>
      <w:r>
        <w:t xml:space="preserve">President &amp; </w:t>
      </w:r>
      <w:r w:rsidRPr="0003083B">
        <w:t xml:space="preserve">CEO of CIL. A </w:t>
      </w:r>
      <w:r w:rsidR="00D43EEB">
        <w:t>cut-out</w:t>
      </w:r>
      <w:r w:rsidRPr="0003083B">
        <w:t xml:space="preserve"> photo of Kent </w:t>
      </w:r>
      <w:r>
        <w:t xml:space="preserve">sitting </w:t>
      </w:r>
      <w:r w:rsidR="00D43EEB">
        <w:t>at a</w:t>
      </w:r>
      <w:r>
        <w:t xml:space="preserve"> desk and holding a pen </w:t>
      </w:r>
      <w:r w:rsidRPr="0003083B">
        <w:t>sits on the left-hand side</w:t>
      </w:r>
      <w:r w:rsidR="00D43EEB">
        <w:t xml:space="preserve"> with his message spanning across both pages</w:t>
      </w:r>
      <w:r w:rsidRPr="0003083B">
        <w:t>.</w:t>
      </w:r>
      <w:r w:rsidRPr="00947776">
        <w:rPr>
          <w:b/>
          <w:bCs/>
        </w:rPr>
        <w:t>]</w:t>
      </w:r>
    </w:p>
    <w:p w14:paraId="7CDB21E3" w14:textId="0124E300" w:rsidR="00947776" w:rsidRDefault="00947776" w:rsidP="00947776">
      <w:pPr>
        <w:pStyle w:val="Heading3"/>
      </w:pPr>
      <w:r>
        <w:lastRenderedPageBreak/>
        <w:t>Thoughts from the CEO</w:t>
      </w:r>
    </w:p>
    <w:p w14:paraId="1D2ADCB3" w14:textId="77777777" w:rsidR="00D43EEB" w:rsidRDefault="00D43EEB" w:rsidP="00D43EEB">
      <w:r>
        <w:t>We are certainly living in “interesting” times.  When facing life’s challenges, it’s important to know who you are and what matters most to you.</w:t>
      </w:r>
    </w:p>
    <w:p w14:paraId="10617FD8" w14:textId="77777777" w:rsidR="00D43EEB" w:rsidRDefault="00D43EEB" w:rsidP="00D43EEB">
      <w:r>
        <w:t xml:space="preserve">This is as true for companies as it is for individuals. One of my commanders back in my military days used to say that the thing about integrity is that it doesn’t bend – it breaks.  Things tend to go a lot better if you think about lines in the sand before you approach them. </w:t>
      </w:r>
    </w:p>
    <w:p w14:paraId="07723985" w14:textId="77777777" w:rsidR="00D43EEB" w:rsidRDefault="00D43EEB" w:rsidP="00D43EEB">
      <w:r>
        <w:t xml:space="preserve">I spent much of my career in the private, for-profit sector, where there was a single measure, the dollar. Sure, at least for some of us, there was a desire to be good corporate citizens and act with a social consciousness. However, at the end of the day, the stock value and profits are what are measured, and companies tend to measure what they’ve decided really matters. </w:t>
      </w:r>
    </w:p>
    <w:p w14:paraId="441551B2" w14:textId="77777777" w:rsidR="00D43EEB" w:rsidRDefault="00D43EEB" w:rsidP="00D43EEB">
      <w:r>
        <w:t>There are special considerations in the non-profit world because we have two measures, dollars and impact (i.e., our mission). I prefer to use the term “not-for-profit company” rather than “non-profit” because I think it better reflects the reality of our situation. We are not driven by the need for profits, but a company that doesn’t make a profit can’t grow or react to unforeseen events.  At the end of the day, we need to be profitable so we can reinvest those profits (the excess revenue, if you prefer) into supporting our mission.  So, although not driven by profit, we should nevertheless seek to obtain a profit.</w:t>
      </w:r>
    </w:p>
    <w:p w14:paraId="00EC0437" w14:textId="77777777" w:rsidR="00D43EEB" w:rsidRDefault="00D43EEB" w:rsidP="00D43EEB">
      <w:r>
        <w:t>Our organization exists because our mission matters — and that mission isn’t a one-time effort.</w:t>
      </w:r>
    </w:p>
    <w:p w14:paraId="796A70B1" w14:textId="77777777" w:rsidR="00D43EEB" w:rsidRDefault="00D43EEB" w:rsidP="00D43EEB">
      <w:r>
        <w:t xml:space="preserve">It’s ongoing, evolving, and demands consistent attention. That’s why financial health isn’t optional. If we don’t stay in business, we can’t pursue the mission or deliver the impact we aspire to. </w:t>
      </w:r>
    </w:p>
    <w:p w14:paraId="037237C8" w14:textId="77777777" w:rsidR="00D43EEB" w:rsidRDefault="00D43EEB" w:rsidP="00D43EEB">
      <w:r>
        <w:t>I strongly believe that we must think of ourselves as a company, not just an organization, and approach our work with a not-for-profit mindset. That framing brings clarity, but also risk. Focus too much on staying solvent, and we may compromise the mission. Focus only on the mission, and we may run out of money — which is another way of failing the people who rely on us. Take a moment and think about this. We’ve all seen organizations that have fallen into one of these traps.  Those organizations no longer exist even though the need remains, or they survive in name only, offering little impact. Neither path honors the mission.</w:t>
      </w:r>
    </w:p>
    <w:p w14:paraId="4FD2ADE0" w14:textId="77777777" w:rsidR="00D43EEB" w:rsidRDefault="00D43EEB" w:rsidP="00D43EEB">
      <w:r>
        <w:t xml:space="preserve">This brings us back to the need to know who we are, why we are here, what matters to us, and how to provide sustainable impact.  </w:t>
      </w:r>
    </w:p>
    <w:p w14:paraId="60654962" w14:textId="77777777" w:rsidR="00D43EEB" w:rsidRDefault="00D43EEB" w:rsidP="00D43EEB">
      <w:r>
        <w:t xml:space="preserve">In short, we need to balance the financial realities with the aspirational goals of our organizations.  To maximize our impact, we need to have both dollars and sense. </w:t>
      </w:r>
    </w:p>
    <w:p w14:paraId="28BD1ABB" w14:textId="77777777" w:rsidR="00D43EEB" w:rsidRDefault="00D43EEB" w:rsidP="00D43EEB">
      <w:r>
        <w:t xml:space="preserve">Of course, none of this is easy — especially in uncertain times. But it is necessary if we believe in what we are doing. As another one of my commanders used to say, if it’s easy, it probably isn’t very important. What we do matters. People count on us. </w:t>
      </w:r>
    </w:p>
    <w:p w14:paraId="3C94962A" w14:textId="77777777" w:rsidR="00D43EEB" w:rsidRDefault="00D43EEB" w:rsidP="00D43EEB">
      <w:proofErr w:type="gramStart"/>
      <w:r>
        <w:t>So</w:t>
      </w:r>
      <w:proofErr w:type="gramEnd"/>
      <w:r>
        <w:t xml:space="preserve"> let’s continue to be the best stewards of that trust, balancing purpose with pragmatism, every step of the way.</w:t>
      </w:r>
    </w:p>
    <w:p w14:paraId="0A5BB97D" w14:textId="51296856" w:rsidR="00C4059E" w:rsidRDefault="00C4059E" w:rsidP="00D43EEB">
      <w:r>
        <w:t>Kent Schwendy</w:t>
      </w:r>
      <w:r w:rsidR="00947776">
        <w:br/>
      </w:r>
      <w:r>
        <w:t>President &amp; CEO</w:t>
      </w:r>
    </w:p>
    <w:p w14:paraId="115B667D" w14:textId="77777777" w:rsidR="00947776" w:rsidRDefault="00947776" w:rsidP="00C4059E"/>
    <w:p w14:paraId="45D3DA90" w14:textId="6431BF8D" w:rsidR="00C4059E" w:rsidRDefault="00FB1FEB" w:rsidP="00FB1FEB">
      <w:pPr>
        <w:pStyle w:val="Heading2"/>
      </w:pPr>
      <w:r>
        <w:t>Fueling the Future: How CIL’s FY ’25 Financial Moves Unlock New Opportunities for Impact</w:t>
      </w:r>
    </w:p>
    <w:p w14:paraId="2282BA18" w14:textId="096DD360" w:rsidR="0003083B" w:rsidRPr="00BC7C89" w:rsidRDefault="00BC7C89" w:rsidP="00C4059E">
      <w:pPr>
        <w:rPr>
          <w:b/>
          <w:bCs/>
        </w:rPr>
      </w:pPr>
      <w:r w:rsidRPr="00AE6CEF">
        <w:rPr>
          <w:b/>
          <w:bCs/>
        </w:rPr>
        <w:t>[Graphics Description:</w:t>
      </w:r>
      <w:r w:rsidRPr="00AE6CEF">
        <w:t xml:space="preserve"> </w:t>
      </w:r>
      <w:r w:rsidR="00AE6CEF" w:rsidRPr="00AE6CEF">
        <w:t>Two-page spread with a blue-and-green color scheme. The left page features circular graphic elements and faint coin imagery behind the text. The right page includes a photo of a large group seated at a dinner table, along with circular shapes and subtle money-themed background images. A ‘By the Numbers’ section appears inside a large circular graphic on the lower right.</w:t>
      </w:r>
      <w:r w:rsidR="00AE6CEF" w:rsidRPr="00AE6CEF">
        <w:rPr>
          <w:b/>
          <w:bCs/>
        </w:rPr>
        <w:t>]</w:t>
      </w:r>
    </w:p>
    <w:p w14:paraId="618798F2" w14:textId="13AC4E7F" w:rsidR="00C4059E" w:rsidRDefault="00FB1FEB" w:rsidP="00BC7C89">
      <w:pPr>
        <w:pStyle w:val="Heading3"/>
      </w:pPr>
      <w:r>
        <w:t xml:space="preserve">Breaking Barriers: A New National Credit Line </w:t>
      </w:r>
    </w:p>
    <w:p w14:paraId="47ACF0F6" w14:textId="77777777" w:rsidR="00FB1FEB" w:rsidRDefault="00FB1FEB" w:rsidP="00FB1FEB">
      <w:r w:rsidRPr="00FB1FEB">
        <w:t xml:space="preserve">In April 2025, CIL secured a $45 million line of credit with KeyBank, featuring an additional $20 million incremental facility. This financing is more than a number on a balance sheet: it represents new flexibility for our reach. </w:t>
      </w:r>
    </w:p>
    <w:p w14:paraId="4B4BB28D" w14:textId="77777777" w:rsidR="00FB1FEB" w:rsidRPr="00FB1FEB" w:rsidRDefault="00FB1FEB" w:rsidP="00FB1FEB">
      <w:r w:rsidRPr="00FB1FEB">
        <w:t xml:space="preserve">For the first time, CIL can develop community-based homes anywhere in the continental United States, removing the geographic limits that once restricted our reach. </w:t>
      </w:r>
    </w:p>
    <w:p w14:paraId="320DAD3B" w14:textId="77777777" w:rsidR="00FB1FEB" w:rsidRPr="00FB1FEB" w:rsidRDefault="00FB1FEB" w:rsidP="00FB1FEB">
      <w:r w:rsidRPr="00FB1FEB">
        <w:t>With support from KeyBank as lead lender—and the participation of Webster Bank, Westfield Bank, and Rockland Trust—CIL now has the backing of financial partners who share our vision. As CFO Maria Green explained:</w:t>
      </w:r>
    </w:p>
    <w:p w14:paraId="51BB7A63" w14:textId="77777777" w:rsidR="00FB1FEB" w:rsidRPr="00FB1FEB" w:rsidRDefault="00FB1FEB" w:rsidP="00FB1FEB">
      <w:r w:rsidRPr="00FB1FEB">
        <w:t xml:space="preserve">“Their team understands the complexity and mission-driven nature of our work. With this partnership, we have the resources and flexibility to grow with our providers, wherever the need is </w:t>
      </w:r>
      <w:proofErr w:type="gramStart"/>
      <w:r w:rsidRPr="00FB1FEB">
        <w:t>greatest.”</w:t>
      </w:r>
      <w:proofErr w:type="gramEnd"/>
    </w:p>
    <w:p w14:paraId="047A554C" w14:textId="20530C85" w:rsidR="00FB1FEB" w:rsidRDefault="00FB1FEB" w:rsidP="00FB1FEB">
      <w:r w:rsidRPr="00FB1FEB">
        <w:t>This new capacity comes at a pivotal time. Across the country, nonprofit providers face rising demand for accessible housing while navigating staffing shortages and financial pressures. Now, CIL is positioned to meet those needs head-on, in any state where our expertise can make a difference.</w:t>
      </w:r>
    </w:p>
    <w:p w14:paraId="40C6D80D" w14:textId="77777777" w:rsidR="00FB1FEB" w:rsidRDefault="00FB1FEB" w:rsidP="00FB1FEB">
      <w:r>
        <w:t xml:space="preserve">Why A Credit Line? </w:t>
      </w:r>
      <w:r w:rsidRPr="00FB1FEB">
        <w:t>CIL’s credit line gives us the ability to move quickly on projects, rather than waiting for project-specific financing. For providers, this means faster timelines, fewer delays, and homes delivered when they’re needed most.</w:t>
      </w:r>
    </w:p>
    <w:p w14:paraId="0AC76859" w14:textId="4086DEC9" w:rsidR="00FB1FEB" w:rsidRDefault="00FB1FEB" w:rsidP="00FB1FEB">
      <w:pPr>
        <w:pStyle w:val="Heading3"/>
      </w:pPr>
      <w:r>
        <w:t>Building on Strength: $20 Million Bond with Rockland Trust</w:t>
      </w:r>
    </w:p>
    <w:p w14:paraId="2713A301" w14:textId="77777777" w:rsidR="00FB1FEB" w:rsidRPr="00FB1FEB" w:rsidRDefault="00FB1FEB" w:rsidP="00FB1FEB">
      <w:r w:rsidRPr="00FB1FEB">
        <w:t xml:space="preserve">CIL also celebrated a major financing milestone in Massachusetts: the closing of a $20 million tax-exempt bond with Rockland Trust. This bond supports the development of 15 community-based residences for individuals with disabilities, while also introducing a new Debt Service Reserve Fund (DSRF) structure that strengthens long-term financial security. </w:t>
      </w:r>
    </w:p>
    <w:p w14:paraId="37612E70" w14:textId="77777777" w:rsidR="00FB1FEB" w:rsidRPr="00FB1FEB" w:rsidRDefault="00FB1FEB" w:rsidP="00FB1FEB">
      <w:r w:rsidRPr="00FB1FEB">
        <w:t>The proceeds cover the permanent financing for every stage of development, from site acquisition, design, permitting, and construction, to soft costs like financing fees. Agencies lease the homes through predictable, fixed monthly payments. Once the bond is repaid, ownership of the homes will be donated to the agencies, ensuring a lasting asset and long-term sustainability.</w:t>
      </w:r>
    </w:p>
    <w:p w14:paraId="263F46B2" w14:textId="77777777" w:rsidR="00FB1FEB" w:rsidRPr="00FB1FEB" w:rsidRDefault="00FB1FEB" w:rsidP="00FB1FEB">
      <w:r w:rsidRPr="00FB1FEB">
        <w:lastRenderedPageBreak/>
        <w:t>This is the latest in a series of financings that have allowed CIL to scale its impact. With over $165 million in bonds supporting hundreds of homes, this model continues to provide a proven, replicable solution to expand housing opportunities for people with disabilities.</w:t>
      </w:r>
    </w:p>
    <w:p w14:paraId="6487E37E" w14:textId="77777777" w:rsidR="00FB1FEB" w:rsidRPr="00FB1FEB" w:rsidRDefault="00FB1FEB" w:rsidP="00FB1FEB">
      <w:r w:rsidRPr="00FB1FEB">
        <w:t>The Bottom Line: Financing Growth, Fueling Impact</w:t>
      </w:r>
    </w:p>
    <w:p w14:paraId="3869EF56" w14:textId="68279550" w:rsidR="00FB1FEB" w:rsidRDefault="00FB1FEB" w:rsidP="00FB1FEB">
      <w:r w:rsidRPr="00FB1FEB">
        <w:t>These milestones are more than financial achievements — they are the foundation for broader reach and deeper impact. With new tools in place, CIL can move faster, serve more communities, and strengthen partnerships. By pairing financial strength with mission focus, we are not just building homes —</w:t>
      </w:r>
      <w:r w:rsidRPr="00FB1FEB">
        <w:t xml:space="preserve"> </w:t>
      </w:r>
      <w:r w:rsidRPr="00FB1FEB">
        <w:t>we are building futures.</w:t>
      </w:r>
    </w:p>
    <w:p w14:paraId="68D7F0AE" w14:textId="3B62E02E" w:rsidR="00FB1FEB" w:rsidRDefault="00FB1FEB" w:rsidP="00FB1FEB">
      <w:r>
        <w:t>By the Numbers</w:t>
      </w:r>
    </w:p>
    <w:p w14:paraId="1BC6A3F6" w14:textId="030DF134" w:rsidR="00FB1FEB" w:rsidRDefault="00FB1FEB" w:rsidP="00FB1FEB">
      <w:r>
        <w:t>$45M+ new national credit line secured.</w:t>
      </w:r>
    </w:p>
    <w:p w14:paraId="618D73BB" w14:textId="0F71EFEA" w:rsidR="00FB1FEB" w:rsidRDefault="00FB1FEB" w:rsidP="00FB1FEB">
      <w:r>
        <w:t xml:space="preserve">15 homes supported by Rockland Trust bond financing. </w:t>
      </w:r>
    </w:p>
    <w:p w14:paraId="09245E24" w14:textId="64936098" w:rsidR="00DC5709" w:rsidRDefault="00DC5709" w:rsidP="00FB1FEB">
      <w:r>
        <w:t xml:space="preserve">Hundreds of homes developed across multiple states. </w:t>
      </w:r>
    </w:p>
    <w:p w14:paraId="29908AB0" w14:textId="626A33FF" w:rsidR="00DC5709" w:rsidRDefault="00DC5709" w:rsidP="00FB1FEB">
      <w:r>
        <w:t>$165M+ total in bonds currently</w:t>
      </w:r>
    </w:p>
    <w:p w14:paraId="00E7EB71" w14:textId="3028C1F5" w:rsidR="00FB1FEB" w:rsidRPr="00FB1FEB" w:rsidRDefault="00DC5709" w:rsidP="00FB1FEB">
      <w:r>
        <w:t>45+ years CIL’s history of mission-driven housing.</w:t>
      </w:r>
    </w:p>
    <w:p w14:paraId="4979CC67" w14:textId="4FB3B636" w:rsidR="00C4059E" w:rsidRDefault="00DC5709" w:rsidP="00DC5709">
      <w:pPr>
        <w:pStyle w:val="Heading2"/>
      </w:pPr>
      <w:r>
        <w:t>Photo Essay: The Arc of Greater Plymouth Duplex</w:t>
      </w:r>
    </w:p>
    <w:p w14:paraId="50937282" w14:textId="667BE281" w:rsidR="0003083B" w:rsidRDefault="00BC7C89" w:rsidP="00C4059E">
      <w:r w:rsidRPr="00AE6CEF">
        <w:rPr>
          <w:b/>
          <w:bCs/>
        </w:rPr>
        <w:t>[Graphic Description:</w:t>
      </w:r>
      <w:r w:rsidRPr="00AE6CEF">
        <w:t xml:space="preserve"> </w:t>
      </w:r>
      <w:r w:rsidR="00AE6CEF" w:rsidRPr="00AE6CEF">
        <w:t>Two-page spread featuring large photos of a light-blue duplex home. A man stands smiling on the front walkway. Small circular inset photos show colorful fall flowers and the same man sitting at a kitchen table with a mug. The layout has a clean, airy design with text blocks overlaid on the images.</w:t>
      </w:r>
      <w:r w:rsidR="00AE6CEF" w:rsidRPr="00AE6CEF">
        <w:rPr>
          <w:b/>
          <w:bCs/>
        </w:rPr>
        <w:t>]</w:t>
      </w:r>
    </w:p>
    <w:p w14:paraId="2F263458" w14:textId="77777777" w:rsidR="00AE6CEF" w:rsidRDefault="00AE6CEF" w:rsidP="00AE6CEF">
      <w:pPr>
        <w:pStyle w:val="Heading3"/>
      </w:pPr>
      <w:r>
        <w:t>Duplex Dreams</w:t>
      </w:r>
    </w:p>
    <w:p w14:paraId="7ECAA670" w14:textId="77777777" w:rsidR="00AE6CEF" w:rsidRDefault="00AE6CEF" w:rsidP="00DC5709">
      <w:r w:rsidRPr="00AE6CEF">
        <w:t xml:space="preserve">Photography by J. Fiereck Photography </w:t>
      </w:r>
    </w:p>
    <w:p w14:paraId="3115FF50" w14:textId="69BFD13B" w:rsidR="00DC5709" w:rsidRDefault="00DC5709" w:rsidP="00DC5709">
      <w:r>
        <w:t>Completed in March 2025, this thoughtfully designed duplex expands safe, comfortable housing for adults with intellectual and developmental disabilities. Each side of the home welcomes up to four residents—eight in total—and features two fully accessible bathrooms per unit, roll-under sinks, and integrated ceiling lifts to support aging in place as needs evolve.</w:t>
      </w:r>
    </w:p>
    <w:p w14:paraId="2903414D" w14:textId="7A2172D5" w:rsidR="00DC5709" w:rsidRDefault="00DC5709" w:rsidP="00DC5709">
      <w:r>
        <w:t>The home is leased and supported by The Arc of Greater Plymouth and Upper Cape Cod, whose team provides consistent, person-centered services while fostering independence, dignity, and daily joy.</w:t>
      </w:r>
    </w:p>
    <w:p w14:paraId="7CECFA84" w14:textId="77777777" w:rsidR="00DC5709" w:rsidRDefault="00DC5709" w:rsidP="00DC5709">
      <w:r>
        <w:t xml:space="preserve">RESIDENT SPOTLIGHT: ROB W. </w:t>
      </w:r>
    </w:p>
    <w:p w14:paraId="1973679E" w14:textId="2A538819" w:rsidR="00DC5709" w:rsidRDefault="00DC5709" w:rsidP="00DC5709">
      <w:r>
        <w:t xml:space="preserve">Rob W is a passionate motorsports enthusiast who follows NASCAR, NHRA, and Top Fuel Racing.  A regular at Seekonk Speedway, he thrives on the roar of the engines and the thrill of the competition.  When he’s </w:t>
      </w:r>
      <w:proofErr w:type="gramStart"/>
      <w:r>
        <w:t>not trackside</w:t>
      </w:r>
      <w:proofErr w:type="gramEnd"/>
      <w:r>
        <w:t xml:space="preserve">, </w:t>
      </w:r>
      <w:proofErr w:type="gramStart"/>
      <w:r>
        <w:t>he is usually fueling</w:t>
      </w:r>
      <w:proofErr w:type="gramEnd"/>
      <w:r>
        <w:t xml:space="preserve"> up at Dunkin!</w:t>
      </w:r>
    </w:p>
    <w:p w14:paraId="6B4BA8EE" w14:textId="7DBFAC91" w:rsidR="00AE6CEF" w:rsidRDefault="00AE6CEF" w:rsidP="00C4059E">
      <w:r w:rsidRPr="00AE6CEF">
        <w:rPr>
          <w:b/>
          <w:bCs/>
        </w:rPr>
        <w:t>[Graphic Description:</w:t>
      </w:r>
      <w:r>
        <w:t xml:space="preserve"> </w:t>
      </w:r>
      <w:r w:rsidRPr="00AE6CEF">
        <w:t xml:space="preserve">Two-page spread with a purple and light lavender background featuring multiple photos. A large central image shows a white duplex home on a sunny day. Circular inset photos show a kitchen, a living room with a clock on the wall, a man relaxing in a recliner, and a </w:t>
      </w:r>
      <w:r w:rsidRPr="00AE6CEF">
        <w:lastRenderedPageBreak/>
        <w:t>woman doing embroidery, along with a portrait of her smiling. The layout uses overlapping circular frames for a dynamic, collage-like design.</w:t>
      </w:r>
      <w:r w:rsidRPr="00AE6CEF">
        <w:rPr>
          <w:b/>
          <w:bCs/>
        </w:rPr>
        <w:t>]</w:t>
      </w:r>
    </w:p>
    <w:p w14:paraId="4A893271" w14:textId="4482DC56" w:rsidR="00DC5709" w:rsidRDefault="00AE6CEF" w:rsidP="00C4059E">
      <w:r w:rsidRPr="00DC5709">
        <w:t xml:space="preserve">The duplex model provides benefits for residents and providers: staff can flex between both sides of the home, and residents build community </w:t>
      </w:r>
      <w:proofErr w:type="gramStart"/>
      <w:r w:rsidRPr="00DC5709">
        <w:t>through the use of</w:t>
      </w:r>
      <w:proofErr w:type="gramEnd"/>
      <w:r w:rsidRPr="00DC5709">
        <w:t xml:space="preserve"> shared spaces.</w:t>
      </w:r>
    </w:p>
    <w:p w14:paraId="38F3B2A5" w14:textId="77777777" w:rsidR="00DC5709" w:rsidRDefault="00DC5709" w:rsidP="00DC5709">
      <w:r>
        <w:t xml:space="preserve">RESIDENT SPOTLIGHT: MICHELE T. </w:t>
      </w:r>
    </w:p>
    <w:p w14:paraId="78194904" w14:textId="77777777" w:rsidR="00DC5709" w:rsidRDefault="00DC5709" w:rsidP="00DC5709">
      <w:r>
        <w:t xml:space="preserve">Michele T. has been happily married for two years, following a 25-year relationship with her now husband, who also lives in the duplex. </w:t>
      </w:r>
    </w:p>
    <w:p w14:paraId="126C736B" w14:textId="7D131FED" w:rsidR="00DC5709" w:rsidRDefault="00DC5709" w:rsidP="00DC5709">
      <w:r>
        <w:t>A creative spirit, she enjoys cross-stitching and often designs and hand-makes thoughtful gifts for family and friends. The project you see her working on here will feature her last name, the date she was married, and “lots of flowers.” Michelle has a growing interest in sign language and looks forward to taking classes to learn more.</w:t>
      </w:r>
    </w:p>
    <w:p w14:paraId="7F78194E" w14:textId="54F478F0" w:rsidR="00DC5709" w:rsidRDefault="00DC5709" w:rsidP="00DC5709">
      <w:pPr>
        <w:pStyle w:val="Heading2"/>
      </w:pPr>
      <w:r>
        <w:t>Impact Report</w:t>
      </w:r>
    </w:p>
    <w:p w14:paraId="758A89FE" w14:textId="15ECC468" w:rsidR="00DC5709" w:rsidRDefault="00DC5709" w:rsidP="00C4059E">
      <w:r w:rsidRPr="00DC5709">
        <w:rPr>
          <w:b/>
          <w:bCs/>
        </w:rPr>
        <w:t>[Graphic Description:</w:t>
      </w:r>
      <w:r w:rsidRPr="00DC5709">
        <w:t xml:space="preserve"> This spread features a graphical layout that </w:t>
      </w:r>
      <w:proofErr w:type="gramStart"/>
      <w:r w:rsidRPr="00DC5709">
        <w:t>show</w:t>
      </w:r>
      <w:proofErr w:type="gramEnd"/>
      <w:r w:rsidRPr="00DC5709">
        <w:t xml:space="preserve"> CIL’s impact metrics from 1979 to 202</w:t>
      </w:r>
      <w:r w:rsidRPr="00DC5709">
        <w:t>5</w:t>
      </w:r>
      <w:r w:rsidRPr="00DC5709">
        <w:t>.]</w:t>
      </w:r>
      <w:r w:rsidRPr="0003083B">
        <w:t xml:space="preserve"> </w:t>
      </w:r>
    </w:p>
    <w:p w14:paraId="2DE049E6" w14:textId="2448BF2C" w:rsidR="00C4059E" w:rsidRDefault="00C4059E" w:rsidP="00C4059E">
      <w:r>
        <w:t>Since 1979 CIL has invested</w:t>
      </w:r>
      <w:r w:rsidR="00BC7C89">
        <w:t xml:space="preserve"> </w:t>
      </w:r>
      <w:r w:rsidR="00DC5709" w:rsidRPr="00DC5709">
        <w:t xml:space="preserve">$724,930,813 </w:t>
      </w:r>
      <w:r>
        <w:t>in developing communities; 2,</w:t>
      </w:r>
      <w:r w:rsidR="00DC5709">
        <w:t>806</w:t>
      </w:r>
      <w:r>
        <w:t xml:space="preserve"> homes developed; administered 62</w:t>
      </w:r>
      <w:r w:rsidR="00DC5709">
        <w:t>7</w:t>
      </w:r>
      <w:r>
        <w:t xml:space="preserve"> grants and 1</w:t>
      </w:r>
      <w:r w:rsidR="00DC5709">
        <w:t>42</w:t>
      </w:r>
      <w:r>
        <w:t xml:space="preserve"> money follows the person through </w:t>
      </w:r>
      <w:proofErr w:type="spellStart"/>
      <w:r>
        <w:t>AccesSolutions</w:t>
      </w:r>
      <w:proofErr w:type="spellEnd"/>
      <w:r>
        <w:t xml:space="preserve">; </w:t>
      </w:r>
      <w:r w:rsidR="00DC5709">
        <w:t>9,000</w:t>
      </w:r>
      <w:r>
        <w:t xml:space="preserve"> people and families helped; 15</w:t>
      </w:r>
      <w:r w:rsidR="00DC5709">
        <w:t>6</w:t>
      </w:r>
      <w:r>
        <w:t xml:space="preserve"> development consulting projects; 321 multifamily &amp; mixed-use units; 470 other production (homebuyer programs, office space, etc.); 2</w:t>
      </w:r>
      <w:r w:rsidR="00DC5709">
        <w:t>93</w:t>
      </w:r>
      <w:r>
        <w:t xml:space="preserve"> licensed Massachusetts community residences; 544 licensed Connecticut community residences; </w:t>
      </w:r>
      <w:r w:rsidR="00DC5709">
        <w:t>10</w:t>
      </w:r>
      <w:r>
        <w:t xml:space="preserve"> licensed Pennsylvania community residences; 2 licensed Delaware community residences; </w:t>
      </w:r>
      <w:r w:rsidR="00DC5709">
        <w:t>3</w:t>
      </w:r>
      <w:r>
        <w:t xml:space="preserve"> licensed Vermont community residences; 13 licensed Tennessee community residences. </w:t>
      </w:r>
    </w:p>
    <w:p w14:paraId="5E9E2500" w14:textId="254AEB92" w:rsidR="00307FAE" w:rsidRDefault="00307FAE" w:rsidP="00307FAE">
      <w:pPr>
        <w:pStyle w:val="Heading2"/>
      </w:pPr>
      <w:r>
        <w:t>Beyond the Balance Sheet: Real Estate Mergers and Acquisitions</w:t>
      </w:r>
    </w:p>
    <w:p w14:paraId="7AE57A76" w14:textId="77777777" w:rsidR="008804AB" w:rsidRDefault="00BC7C89" w:rsidP="00307FAE">
      <w:r w:rsidRPr="008804AB">
        <w:t>[</w:t>
      </w:r>
      <w:r w:rsidRPr="008804AB">
        <w:rPr>
          <w:b/>
          <w:bCs/>
        </w:rPr>
        <w:t>Graphic Description:</w:t>
      </w:r>
      <w:r w:rsidRPr="008804AB">
        <w:t xml:space="preserve"> </w:t>
      </w:r>
      <w:r w:rsidR="008804AB" w:rsidRPr="008804AB">
        <w:t>A t</w:t>
      </w:r>
      <w:r w:rsidR="008804AB" w:rsidRPr="008804AB">
        <w:t xml:space="preserve">wo-page spread with a blue and teal color scheme. The left page features a circular portrait of </w:t>
      </w:r>
      <w:r w:rsidR="008804AB" w:rsidRPr="008804AB">
        <w:t xml:space="preserve">Chris Canna </w:t>
      </w:r>
      <w:r w:rsidR="008804AB" w:rsidRPr="008804AB">
        <w:t>near the bottom and a large headline above him. The right page includes a large photo of a front door decorated with a fall wreath and a ‘Welcome’ sign. Circular graphic shapes frame parts of the layout, creating a clean, modern design.</w:t>
      </w:r>
      <w:r w:rsidR="008804AB" w:rsidRPr="008804AB">
        <w:rPr>
          <w:b/>
          <w:bCs/>
        </w:rPr>
        <w:t>]</w:t>
      </w:r>
    </w:p>
    <w:p w14:paraId="723CE8FE" w14:textId="77777777" w:rsidR="008804AB" w:rsidRPr="008804AB" w:rsidRDefault="008804AB" w:rsidP="008804AB">
      <w:pPr>
        <w:pStyle w:val="Heading3"/>
      </w:pPr>
      <w:r w:rsidRPr="008804AB">
        <w:t>Real Estate Considerations for Mergers &amp; Acquisitions with insights from Chris Canna, Vice President of Real Estate Development at CIL</w:t>
      </w:r>
    </w:p>
    <w:p w14:paraId="30A73D2D" w14:textId="50980BC9" w:rsidR="00307FAE" w:rsidRPr="00307FAE" w:rsidRDefault="00307FAE" w:rsidP="00307FAE">
      <w:r w:rsidRPr="00307FAE">
        <w:t xml:space="preserve">When there’s a merger or acquisition, it can be easy to focus on programs, staffing, and financials. But one of the most significant—and most complex—pieces of the puzzle is often real </w:t>
      </w:r>
      <w:proofErr w:type="gramStart"/>
      <w:r w:rsidRPr="00307FAE">
        <w:t>estate, and</w:t>
      </w:r>
      <w:proofErr w:type="gramEnd"/>
      <w:r w:rsidRPr="00307FAE">
        <w:t xml:space="preserve"> overlooking it can create costly surprises or integration delays.</w:t>
      </w:r>
    </w:p>
    <w:p w14:paraId="0779275B" w14:textId="77777777" w:rsidR="00307FAE" w:rsidRPr="00307FAE" w:rsidRDefault="00307FAE" w:rsidP="00307FAE">
      <w:r w:rsidRPr="00307FAE">
        <w:t>To avoid those surprises, organizations need to understand exactly what they’re taking on. That means asking hard questions, verifying details, and bringing in the right experts to guide the process. Here are the key considerations Chris highlights:</w:t>
      </w:r>
    </w:p>
    <w:p w14:paraId="4DE781AF" w14:textId="77777777" w:rsidR="00307FAE" w:rsidRPr="00307FAE" w:rsidRDefault="00307FAE" w:rsidP="00307FAE">
      <w:r w:rsidRPr="00307FAE">
        <w:t>Know What You Actually Own</w:t>
      </w:r>
    </w:p>
    <w:p w14:paraId="19FF3A39" w14:textId="77777777" w:rsidR="00307FAE" w:rsidRPr="00307FAE" w:rsidRDefault="00307FAE" w:rsidP="00307FAE">
      <w:r w:rsidRPr="00307FAE">
        <w:lastRenderedPageBreak/>
        <w:t xml:space="preserve">It may sound </w:t>
      </w:r>
      <w:proofErr w:type="gramStart"/>
      <w:r w:rsidRPr="00307FAE">
        <w:t>simple, but</w:t>
      </w:r>
      <w:proofErr w:type="gramEnd"/>
      <w:r w:rsidRPr="00307FAE">
        <w:t xml:space="preserve"> start by confirming ownership. “What do you own? What do you rent? It’s easy to say you own a property, but do you own all the rights associated with it?” Chris explains.</w:t>
      </w:r>
    </w:p>
    <w:p w14:paraId="3A54DD49" w14:textId="77777777" w:rsidR="00307FAE" w:rsidRPr="00307FAE" w:rsidRDefault="00307FAE" w:rsidP="00307FAE">
      <w:r w:rsidRPr="00307FAE">
        <w:t xml:space="preserve">Run a full title search to uncover any </w:t>
      </w:r>
      <w:proofErr w:type="gramStart"/>
      <w:r w:rsidRPr="00307FAE">
        <w:t>liens</w:t>
      </w:r>
      <w:proofErr w:type="gramEnd"/>
      <w:r w:rsidRPr="00307FAE">
        <w:t xml:space="preserve">, easements, or deed restrictions that could limit what you can do with the property. The presence of a </w:t>
      </w:r>
      <w:proofErr w:type="gramStart"/>
      <w:r w:rsidRPr="00307FAE">
        <w:t>lien</w:t>
      </w:r>
      <w:proofErr w:type="gramEnd"/>
      <w:r w:rsidRPr="00307FAE">
        <w:t xml:space="preserve"> or a use restriction could dramatically change its value—and </w:t>
      </w:r>
      <w:proofErr w:type="gramStart"/>
      <w:r w:rsidRPr="00307FAE">
        <w:t>its</w:t>
      </w:r>
      <w:proofErr w:type="gramEnd"/>
      <w:r w:rsidRPr="00307FAE">
        <w:t xml:space="preserve"> fit within your </w:t>
      </w:r>
      <w:proofErr w:type="gramStart"/>
      <w:r w:rsidRPr="00307FAE">
        <w:t>future plans</w:t>
      </w:r>
      <w:proofErr w:type="gramEnd"/>
      <w:r w:rsidRPr="00307FAE">
        <w:t>.</w:t>
      </w:r>
    </w:p>
    <w:p w14:paraId="64BA02B9" w14:textId="77777777" w:rsidR="00307FAE" w:rsidRPr="00307FAE" w:rsidRDefault="00307FAE" w:rsidP="00307FAE">
      <w:r w:rsidRPr="00307FAE">
        <w:t>Clarify What’s Transferable</w:t>
      </w:r>
    </w:p>
    <w:p w14:paraId="68CCD861" w14:textId="77777777" w:rsidR="00307FAE" w:rsidRPr="00307FAE" w:rsidRDefault="00307FAE" w:rsidP="00307FAE">
      <w:r w:rsidRPr="00307FAE">
        <w:t>If the agency you’re merging with leases homes or other properties, review the lease terms carefully. Are leases transferable? Do they require landlord consent upon a change in control? Are there use restrictions that would prevent you from continuing existing services?</w:t>
      </w:r>
    </w:p>
    <w:p w14:paraId="340D5CE4" w14:textId="77777777" w:rsidR="00307FAE" w:rsidRPr="00307FAE" w:rsidRDefault="00307FAE" w:rsidP="00307FAE">
      <w:r w:rsidRPr="00307FAE">
        <w:t>“What you think you’re buying might not be what you’re actually allowed to use,” Chris notes. Understanding lease obligations up front can prevent costly complications down the line.</w:t>
      </w:r>
    </w:p>
    <w:p w14:paraId="1E92D56D" w14:textId="77777777" w:rsidR="00307FAE" w:rsidRDefault="00307FAE" w:rsidP="00307FAE">
      <w:r w:rsidRPr="00307FAE">
        <w:t>Understand the True Value and Cash Flow</w:t>
      </w:r>
    </w:p>
    <w:p w14:paraId="5B953319" w14:textId="481FD48B" w:rsidR="00307FAE" w:rsidRPr="00307FAE" w:rsidRDefault="00307FAE" w:rsidP="00307FAE">
      <w:r w:rsidRPr="00307FAE">
        <w:t>A property’s booked value on the balance sheet may not match its market value—or its value to you as a community residence.</w:t>
      </w:r>
    </w:p>
    <w:p w14:paraId="041780F4" w14:textId="19A1A675" w:rsidR="00307FAE" w:rsidRPr="00307FAE" w:rsidRDefault="00307FAE" w:rsidP="00307FAE">
      <w:r w:rsidRPr="00307FAE">
        <w:t>“Typical community residences in Connecticut can be different than what you could get on the open market if you just put them up for sale as single-family homes,” says Chris. “They have value as community residences, but that’s very different from what the general market will pay.”</w:t>
      </w:r>
    </w:p>
    <w:p w14:paraId="14BAB06A" w14:textId="77777777" w:rsidR="00307FAE" w:rsidRPr="00307FAE" w:rsidRDefault="00307FAE" w:rsidP="00307FAE">
      <w:r w:rsidRPr="00307FAE">
        <w:t>Analyze what each property contributes financially. What rent is realistic? Are there outstanding debts attached to the property? Are operating costs in line with what you expect? Get clear on both cash flow and fair market value from a real estate perspective.</w:t>
      </w:r>
    </w:p>
    <w:p w14:paraId="1D4DE530" w14:textId="06DC7323" w:rsidR="00307FAE" w:rsidRPr="00307FAE" w:rsidRDefault="00307FAE" w:rsidP="00307FAE">
      <w:proofErr w:type="gramStart"/>
      <w:r w:rsidRPr="00307FAE">
        <w:t>Assess</w:t>
      </w:r>
      <w:proofErr w:type="gramEnd"/>
      <w:r w:rsidRPr="00307FAE">
        <w:t xml:space="preserve"> the Physical Condition</w:t>
      </w:r>
    </w:p>
    <w:p w14:paraId="45393B25" w14:textId="001B123D" w:rsidR="00307FAE" w:rsidRPr="00307FAE" w:rsidRDefault="00307FAE" w:rsidP="00307FAE">
      <w:r w:rsidRPr="00307FAE">
        <w:t xml:space="preserve">Don’t rely on assumptions about the state of the </w:t>
      </w:r>
      <w:proofErr w:type="gramStart"/>
      <w:r w:rsidRPr="00307FAE">
        <w:t>properties</w:t>
      </w:r>
      <w:proofErr w:type="gramEnd"/>
      <w:r w:rsidRPr="00307FAE">
        <w:t>. Conduct capital needs assessments to evaluate the condition of roofs, mechanical systems, accessibility features, and interiors.</w:t>
      </w:r>
    </w:p>
    <w:p w14:paraId="3F9ED062" w14:textId="77777777" w:rsidR="00307FAE" w:rsidRPr="00307FAE" w:rsidRDefault="00307FAE" w:rsidP="00307FAE">
      <w:r w:rsidRPr="00307FAE">
        <w:t>“We’ve seen situations where organizations are surprised by the amount of work the homes need,” Chris says. “Knowing this up front helps you plan for future capital expenditures and avoid surprises after closing.”</w:t>
      </w:r>
    </w:p>
    <w:p w14:paraId="6FACDF17" w14:textId="5FEFFAA6" w:rsidR="00307FAE" w:rsidRPr="00307FAE" w:rsidRDefault="00307FAE" w:rsidP="00307FAE">
      <w:r w:rsidRPr="00307FAE">
        <w:t>Bring in the Right Experts</w:t>
      </w:r>
    </w:p>
    <w:p w14:paraId="0CBCD64B" w14:textId="24022DE9" w:rsidR="00307FAE" w:rsidRPr="00307FAE" w:rsidRDefault="00307FAE" w:rsidP="00307FAE">
      <w:r w:rsidRPr="00307FAE">
        <w:t xml:space="preserve">Finally, don’t </w:t>
      </w:r>
      <w:proofErr w:type="gramStart"/>
      <w:r w:rsidRPr="00307FAE">
        <w:t>go it</w:t>
      </w:r>
      <w:proofErr w:type="gramEnd"/>
      <w:r w:rsidRPr="00307FAE">
        <w:t xml:space="preserve"> alone. Engage attorneys to review title and zoning issues, environmental consultants if needed, and real estate professionals who understand the unique regulations around community residences.</w:t>
      </w:r>
    </w:p>
    <w:p w14:paraId="4375C487" w14:textId="77777777" w:rsidR="00307FAE" w:rsidRPr="00307FAE" w:rsidRDefault="00307FAE" w:rsidP="00307FAE">
      <w:r w:rsidRPr="00307FAE">
        <w:t>“If you were buying a multifamily building, you’d run inspections and numbers before closing,” Chris says. “Mergers should be no different. You need someone who knows the steps and how to evaluate them.”</w:t>
      </w:r>
    </w:p>
    <w:p w14:paraId="024AAF51" w14:textId="446DBD5A" w:rsidR="00307FAE" w:rsidRPr="00307FAE" w:rsidRDefault="00307FAE" w:rsidP="00307FAE">
      <w:r w:rsidRPr="00307FAE">
        <w:t>A Clear Path Forward</w:t>
      </w:r>
    </w:p>
    <w:p w14:paraId="764993D4" w14:textId="77777777" w:rsidR="00307FAE" w:rsidRDefault="00307FAE" w:rsidP="00307FAE">
      <w:r w:rsidRPr="00307FAE">
        <w:lastRenderedPageBreak/>
        <w:t>Mergers and acquisitions can be powerful opportunities to expand services and reach more people in need—but only if you know what you’re inheriting. Taking the time to evaluate it thoroughly ensures your merger starts on solid ground—literally and figuratively.</w:t>
      </w:r>
    </w:p>
    <w:p w14:paraId="427BBF0C" w14:textId="708CAC22" w:rsidR="003B3A75" w:rsidRDefault="00307FAE" w:rsidP="00307FAE">
      <w:pPr>
        <w:pStyle w:val="Heading2"/>
      </w:pPr>
      <w:r>
        <w:t>Looking Back</w:t>
      </w:r>
    </w:p>
    <w:p w14:paraId="07A4D1E3" w14:textId="58E81021" w:rsidR="0003083B" w:rsidRDefault="00723FF7" w:rsidP="003B3A75">
      <w:r w:rsidRPr="008804AB">
        <w:rPr>
          <w:b/>
          <w:bCs/>
        </w:rPr>
        <w:t>[Graphic</w:t>
      </w:r>
      <w:r w:rsidR="00A42A2D" w:rsidRPr="008804AB">
        <w:rPr>
          <w:b/>
          <w:bCs/>
        </w:rPr>
        <w:t>s</w:t>
      </w:r>
      <w:r w:rsidRPr="008804AB">
        <w:rPr>
          <w:b/>
          <w:bCs/>
        </w:rPr>
        <w:t xml:space="preserve"> Description</w:t>
      </w:r>
      <w:r w:rsidRPr="008804AB">
        <w:t xml:space="preserve">: </w:t>
      </w:r>
      <w:r w:rsidR="008804AB" w:rsidRPr="008804AB">
        <w:t xml:space="preserve">The </w:t>
      </w:r>
      <w:proofErr w:type="gramStart"/>
      <w:r w:rsidR="008804AB" w:rsidRPr="008804AB">
        <w:t>right hand</w:t>
      </w:r>
      <w:proofErr w:type="gramEnd"/>
      <w:r w:rsidR="008804AB" w:rsidRPr="008804AB">
        <w:t xml:space="preserve"> side of a</w:t>
      </w:r>
      <w:r w:rsidR="0003083B" w:rsidRPr="008804AB">
        <w:t xml:space="preserve"> </w:t>
      </w:r>
      <w:r w:rsidR="00A42A2D" w:rsidRPr="008804AB">
        <w:t>two-page</w:t>
      </w:r>
      <w:r w:rsidRPr="008804AB">
        <w:t xml:space="preserve"> spread</w:t>
      </w:r>
      <w:r w:rsidR="008804AB" w:rsidRPr="008804AB">
        <w:t xml:space="preserve"> that has</w:t>
      </w:r>
      <w:r w:rsidR="008804AB" w:rsidRPr="008804AB">
        <w:t xml:space="preserve"> a dark blue background and the heading ‘Looking Back’ in colorful outlined letters. Three large QR codes appear in a row, each inside an oval outline with a small circular headshot beneath it. Decorative script text reading ‘Accessible Futures’ spans the bottom of the page.</w:t>
      </w:r>
      <w:r w:rsidRPr="008804AB">
        <w:rPr>
          <w:b/>
          <w:bCs/>
        </w:rPr>
        <w:t>]</w:t>
      </w:r>
    </w:p>
    <w:p w14:paraId="26072A3E" w14:textId="77777777" w:rsidR="00307FAE" w:rsidRDefault="00307FAE" w:rsidP="00307FAE">
      <w:r w:rsidRPr="00307FAE">
        <w:t>Last year, we launched a new web series called Accessible Futures: Live, an interview-based LinkedIn Live series where we explore key topics shaping the future of accessibility, featuring expert guests who share innovative solutions and actionable strategies tailored for Home and Community-based Service Providers.</w:t>
      </w:r>
    </w:p>
    <w:p w14:paraId="7DC11611" w14:textId="3AF8D568" w:rsidR="00307FAE" w:rsidRPr="00307FAE" w:rsidRDefault="008804AB" w:rsidP="00307FAE">
      <w:r w:rsidRPr="00307FAE">
        <w:t xml:space="preserve">Episode </w:t>
      </w:r>
      <w:r>
        <w:t>One</w:t>
      </w:r>
    </w:p>
    <w:p w14:paraId="54C98A5F" w14:textId="1ED35BC8" w:rsidR="00307FAE" w:rsidRDefault="008804AB" w:rsidP="00307FAE">
      <w:r w:rsidRPr="00307FAE">
        <w:t>Assistive Technology with Dr. Julie Eshleman, Disability &amp; Tech Advocate</w:t>
      </w:r>
    </w:p>
    <w:p w14:paraId="41143AB3" w14:textId="1FFD31EA" w:rsidR="00307FAE" w:rsidRPr="00307FAE" w:rsidRDefault="008804AB" w:rsidP="00307FAE">
      <w:r w:rsidRPr="00307FAE">
        <w:t>Episode Two</w:t>
      </w:r>
    </w:p>
    <w:p w14:paraId="48DE55FD" w14:textId="71AEFF5C" w:rsidR="00307FAE" w:rsidRDefault="008804AB" w:rsidP="00307FAE">
      <w:r w:rsidRPr="00307FAE">
        <w:t xml:space="preserve">Universal Design with Karri May, From </w:t>
      </w:r>
      <w:proofErr w:type="spellStart"/>
      <w:r w:rsidRPr="00307FAE">
        <w:t>Cannondesign</w:t>
      </w:r>
      <w:proofErr w:type="spellEnd"/>
    </w:p>
    <w:p w14:paraId="5F737772" w14:textId="416B1520" w:rsidR="00307FAE" w:rsidRPr="00307FAE" w:rsidRDefault="008804AB" w:rsidP="00307FAE">
      <w:r w:rsidRPr="00307FAE">
        <w:t>Episode Three</w:t>
      </w:r>
    </w:p>
    <w:p w14:paraId="324AF489" w14:textId="3F42EBF7" w:rsidR="00307FAE" w:rsidRPr="00307FAE" w:rsidRDefault="008804AB" w:rsidP="00307FAE">
      <w:r w:rsidRPr="00307FAE">
        <w:t xml:space="preserve">Accessibility Planning for Providers </w:t>
      </w:r>
      <w:r>
        <w:t>w</w:t>
      </w:r>
      <w:r w:rsidRPr="00307FAE">
        <w:t>ith Michael Bloom,</w:t>
      </w:r>
      <w:r>
        <w:t xml:space="preserve"> </w:t>
      </w:r>
      <w:r w:rsidRPr="00307FAE">
        <w:t xml:space="preserve">From </w:t>
      </w:r>
      <w:proofErr w:type="spellStart"/>
      <w:r w:rsidRPr="00307FAE">
        <w:t>Incompass</w:t>
      </w:r>
      <w:proofErr w:type="spellEnd"/>
      <w:r w:rsidRPr="00307FAE">
        <w:t xml:space="preserve"> Human Services</w:t>
      </w:r>
    </w:p>
    <w:p w14:paraId="552C45C8" w14:textId="77777777" w:rsidR="00307FAE" w:rsidRDefault="00307FAE" w:rsidP="00307FAE">
      <w:pPr>
        <w:pStyle w:val="Heading2"/>
      </w:pPr>
      <w:r>
        <w:t>The Door to Freedom: Angel’s Story</w:t>
      </w:r>
    </w:p>
    <w:p w14:paraId="6E69E185" w14:textId="427C6A47" w:rsidR="0003083B" w:rsidRDefault="00297A85" w:rsidP="003B3A75">
      <w:r w:rsidRPr="008804AB">
        <w:rPr>
          <w:b/>
          <w:bCs/>
        </w:rPr>
        <w:t>[Graphics Description:</w:t>
      </w:r>
      <w:r w:rsidRPr="008804AB">
        <w:t xml:space="preserve"> </w:t>
      </w:r>
      <w:r w:rsidR="008804AB" w:rsidRPr="008804AB">
        <w:t>The left-hand side of this 2-page</w:t>
      </w:r>
      <w:r w:rsidR="0003083B" w:rsidRPr="008804AB">
        <w:t xml:space="preserve"> </w:t>
      </w:r>
      <w:r w:rsidR="008804AB" w:rsidRPr="008804AB">
        <w:t>has</w:t>
      </w:r>
      <w:r w:rsidR="008804AB" w:rsidRPr="008804AB">
        <w:t xml:space="preserve"> a light blue background featuring a large photo of a smiling man seated in a wheelchair on the right side. A circular QR code graphic appears near the top right. The left side of the page contains the title text and a large pull quote. Curved shapes and clean lines frame the layout.</w:t>
      </w:r>
      <w:r w:rsidR="008804AB" w:rsidRPr="008804AB">
        <w:rPr>
          <w:b/>
          <w:bCs/>
        </w:rPr>
        <w:t>]</w:t>
      </w:r>
    </w:p>
    <w:p w14:paraId="5722F0FE" w14:textId="77777777" w:rsidR="00307FAE" w:rsidRDefault="00307FAE" w:rsidP="00307FAE">
      <w:r>
        <w:t>Freedom looks different for everyone.</w:t>
      </w:r>
    </w:p>
    <w:p w14:paraId="72841B62" w14:textId="77777777" w:rsidR="00307FAE" w:rsidRDefault="00307FAE" w:rsidP="00307FAE">
      <w:r>
        <w:t xml:space="preserve">For Angel Torres, it came in the form of a front door he could open independently. Years ago, Angel received an automatic door opener—free of charge—through CIL’s </w:t>
      </w:r>
      <w:proofErr w:type="spellStart"/>
      <w:r>
        <w:t>AccesSolutions</w:t>
      </w:r>
      <w:proofErr w:type="spellEnd"/>
      <w:r>
        <w:t xml:space="preserve"> program. When that unit began to fail, he reached out again, hoping for help.</w:t>
      </w:r>
    </w:p>
    <w:p w14:paraId="26247EDD" w14:textId="7AC60361" w:rsidR="00307FAE" w:rsidRDefault="00307FAE" w:rsidP="00307FAE">
      <w:r>
        <w:t xml:space="preserve">Thanks to the generosity of our donors, CIL was able to step in quickly to replace the </w:t>
      </w:r>
      <w:proofErr w:type="gramStart"/>
      <w:r>
        <w:t>equipment—</w:t>
      </w:r>
      <w:proofErr w:type="gramEnd"/>
      <w:r>
        <w:t>restoring not just a door opener, but Angel’s freedom to come and go safely, on his own terms.</w:t>
      </w:r>
    </w:p>
    <w:p w14:paraId="6123997C" w14:textId="77777777" w:rsidR="00307FAE" w:rsidRDefault="00307FAE" w:rsidP="00307FAE">
      <w:r>
        <w:t xml:space="preserve"> “That door gives me the freedom to go in and out of my house whenever I like. I don’t need to wait for anyone - I’m free”</w:t>
      </w:r>
    </w:p>
    <w:p w14:paraId="7EA43404" w14:textId="2DC4028A" w:rsidR="00307FAE" w:rsidRDefault="00307FAE" w:rsidP="00307FAE">
      <w:r>
        <w:t>In this video, Angel shares how a small piece of assistive technology had a profound impact on his daily life, granting him the independence, mobility, and dignity everyone deserves.</w:t>
      </w:r>
    </w:p>
    <w:p w14:paraId="5EC78DEA" w14:textId="4110AE54" w:rsidR="00307FAE" w:rsidRDefault="00307FAE" w:rsidP="00307FAE">
      <w:pPr>
        <w:pStyle w:val="Heading2"/>
      </w:pPr>
      <w:r>
        <w:lastRenderedPageBreak/>
        <w:t xml:space="preserve">Think Like </w:t>
      </w:r>
      <w:proofErr w:type="gramStart"/>
      <w:r>
        <w:t>A</w:t>
      </w:r>
      <w:proofErr w:type="gramEnd"/>
      <w:r>
        <w:t xml:space="preserve"> Developer</w:t>
      </w:r>
    </w:p>
    <w:p w14:paraId="0D9891CC" w14:textId="78BA5B6F" w:rsidR="00307FAE" w:rsidRDefault="00307FAE" w:rsidP="00307FAE">
      <w:r w:rsidRPr="008804AB">
        <w:rPr>
          <w:b/>
          <w:bCs/>
        </w:rPr>
        <w:t>[Graphic Description:</w:t>
      </w:r>
      <w:r w:rsidRPr="008804AB">
        <w:t xml:space="preserve"> </w:t>
      </w:r>
      <w:r w:rsidR="008804AB" w:rsidRPr="008804AB">
        <w:t>Two-page spread with a purple and light gray color scheme. The left page shows a partial circular photo of a person’s hands resting on architectural drawings, along with large title text. The right page contains text beside a large circular graphic frame near the bottom. The layout uses clean lines and curved shapes throughout.</w:t>
      </w:r>
      <w:r w:rsidR="008804AB" w:rsidRPr="008804AB">
        <w:rPr>
          <w:b/>
          <w:bCs/>
        </w:rPr>
        <w:t>]</w:t>
      </w:r>
    </w:p>
    <w:p w14:paraId="3A923215" w14:textId="77777777" w:rsidR="00307FAE" w:rsidRDefault="00307FAE" w:rsidP="00307FAE">
      <w:r>
        <w:t>5 Things to Know Before Starting Your Next Project</w:t>
      </w:r>
    </w:p>
    <w:p w14:paraId="15981EE8" w14:textId="77777777" w:rsidR="00307FAE" w:rsidRDefault="00307FAE" w:rsidP="00307FAE">
      <w:r>
        <w:t xml:space="preserve">At CIL, we see every home as a doorway to opportunity — a space where people can live full, independent lives in the communities they love. That kind of vision takes planning. Successful development projects start long before construction </w:t>
      </w:r>
      <w:proofErr w:type="gramStart"/>
      <w:r>
        <w:t>begins, and</w:t>
      </w:r>
      <w:proofErr w:type="gramEnd"/>
      <w:r>
        <w:t xml:space="preserve"> thinking like a developer can make the difference between a project that struggles and one that thrives.</w:t>
      </w:r>
    </w:p>
    <w:p w14:paraId="70A99832" w14:textId="07E66481" w:rsidR="00307FAE" w:rsidRDefault="00307FAE" w:rsidP="00307FAE">
      <w:r>
        <w:t>Here are five essential things to consider before you begin your next project:</w:t>
      </w:r>
    </w:p>
    <w:p w14:paraId="417D8A5B" w14:textId="77777777" w:rsidR="00307FAE" w:rsidRPr="00307FAE" w:rsidRDefault="00307FAE" w:rsidP="00307FAE">
      <w:pPr>
        <w:rPr>
          <w:b/>
          <w:bCs/>
        </w:rPr>
      </w:pPr>
      <w:r w:rsidRPr="00307FAE">
        <w:rPr>
          <w:b/>
          <w:bCs/>
        </w:rPr>
        <w:t>1. Define Your Target Population</w:t>
      </w:r>
    </w:p>
    <w:p w14:paraId="08319828" w14:textId="77777777" w:rsidR="00307FAE" w:rsidRPr="00307FAE" w:rsidRDefault="00307FAE" w:rsidP="00307FAE">
      <w:r w:rsidRPr="00307FAE">
        <w:t xml:space="preserve">Every successful project starts with a clear understanding of who it’s for and how many people </w:t>
      </w:r>
      <w:proofErr w:type="gramStart"/>
      <w:r w:rsidRPr="00307FAE">
        <w:t>actually fit</w:t>
      </w:r>
      <w:proofErr w:type="gramEnd"/>
      <w:r w:rsidRPr="00307FAE">
        <w:t xml:space="preserve"> that description in the location you’re considering. Think about ages, diagnoses, and levels of support needed, but also about demand: how many people in that area would want to live there, qualify for your program or funding source, and be able to afford the expected rent? Getting specific about your target population and market size helps shape every other decision you’ll make. </w:t>
      </w:r>
    </w:p>
    <w:p w14:paraId="71A6FADD" w14:textId="77777777" w:rsidR="00307FAE" w:rsidRPr="00307FAE" w:rsidRDefault="00307FAE" w:rsidP="00307FAE">
      <w:pPr>
        <w:rPr>
          <w:b/>
          <w:bCs/>
        </w:rPr>
      </w:pPr>
      <w:r w:rsidRPr="00307FAE">
        <w:rPr>
          <w:b/>
          <w:bCs/>
        </w:rPr>
        <w:t>2. Understand the Funding Landscape</w:t>
      </w:r>
    </w:p>
    <w:p w14:paraId="2DF2E34D" w14:textId="77777777" w:rsidR="00307FAE" w:rsidRPr="00307FAE" w:rsidRDefault="00307FAE" w:rsidP="00307FAE">
      <w:pPr>
        <w:rPr>
          <w:b/>
          <w:bCs/>
        </w:rPr>
      </w:pPr>
      <w:r w:rsidRPr="00307FAE">
        <w:t xml:space="preserve">Where will the rent come from and where will the capital come from? Many of the people CIL </w:t>
      </w:r>
      <w:proofErr w:type="gramStart"/>
      <w:r w:rsidRPr="00307FAE">
        <w:t>serves</w:t>
      </w:r>
      <w:proofErr w:type="gramEnd"/>
      <w:r w:rsidRPr="00307FAE">
        <w:t xml:space="preserve"> rely on state or federal funding streams, often through Medicaid, to cover services and sometimes housing. Understanding both your operating and capital funding sources, and how they interact, is critical. Is the rent you can realistically collect from your target market enough to cover debt service and operating costs, or will you need rental subsidies? If private debt or equity won’t yield sufficient returns, will public or philanthropic capital be needed? Clarifying these questions early helps ensure your project is financially sustainable. </w:t>
      </w:r>
    </w:p>
    <w:p w14:paraId="5A06D3EB" w14:textId="77777777" w:rsidR="00307FAE" w:rsidRPr="00307FAE" w:rsidRDefault="00307FAE" w:rsidP="00307FAE">
      <w:pPr>
        <w:rPr>
          <w:b/>
          <w:bCs/>
        </w:rPr>
      </w:pPr>
      <w:r w:rsidRPr="00307FAE">
        <w:rPr>
          <w:b/>
          <w:bCs/>
        </w:rPr>
        <w:t>3. Match the Housing Type to the Need</w:t>
      </w:r>
    </w:p>
    <w:p w14:paraId="52FCBB22" w14:textId="77777777" w:rsidR="00307FAE" w:rsidRPr="00307FAE" w:rsidRDefault="00307FAE" w:rsidP="00307FAE">
      <w:pPr>
        <w:rPr>
          <w:b/>
          <w:bCs/>
        </w:rPr>
      </w:pPr>
      <w:r w:rsidRPr="00307FAE">
        <w:t xml:space="preserve">Different populations have different housing needs. Are you planning a community residence, individual apartments, shared living spaces, or something else entirely? Do residents require specialized accessibility features, medical </w:t>
      </w:r>
      <w:proofErr w:type="gramStart"/>
      <w:r w:rsidRPr="00307FAE">
        <w:t>accommodations</w:t>
      </w:r>
      <w:proofErr w:type="gramEnd"/>
      <w:r w:rsidRPr="00307FAE">
        <w:t>, or adaptive technology? The answers will guide your design and help you plan for the right staffing model, level of privacy, and amenities.</w:t>
      </w:r>
    </w:p>
    <w:p w14:paraId="44A3DC3F" w14:textId="77777777" w:rsidR="00307FAE" w:rsidRPr="00307FAE" w:rsidRDefault="00307FAE" w:rsidP="00307FAE">
      <w:pPr>
        <w:rPr>
          <w:b/>
          <w:bCs/>
        </w:rPr>
      </w:pPr>
      <w:r w:rsidRPr="00307FAE">
        <w:rPr>
          <w:b/>
          <w:bCs/>
        </w:rPr>
        <w:t>4. Choose the Right Location</w:t>
      </w:r>
    </w:p>
    <w:p w14:paraId="5D452F02" w14:textId="77777777" w:rsidR="00307FAE" w:rsidRPr="00307FAE" w:rsidRDefault="00307FAE" w:rsidP="00307FAE">
      <w:pPr>
        <w:rPr>
          <w:b/>
          <w:bCs/>
        </w:rPr>
      </w:pPr>
      <w:r w:rsidRPr="00307FAE">
        <w:t>Location = community. Where do the people you hope to serve want to live? Are there nearby supports, transit options, and opportunities for social inclusion? The surrounding environment can impact residents’ quality of life as much as the home itself. Selecting a location aligned with your target population’s needs and preferences sets the stage for long-term success.</w:t>
      </w:r>
    </w:p>
    <w:p w14:paraId="42293C90" w14:textId="77777777" w:rsidR="00307FAE" w:rsidRPr="00307FAE" w:rsidRDefault="00307FAE" w:rsidP="00307FAE">
      <w:pPr>
        <w:rPr>
          <w:b/>
          <w:bCs/>
        </w:rPr>
      </w:pPr>
      <w:r w:rsidRPr="00307FAE">
        <w:rPr>
          <w:b/>
          <w:bCs/>
        </w:rPr>
        <w:t>5. Plan the Design Around Daily Life</w:t>
      </w:r>
    </w:p>
    <w:p w14:paraId="2EC272F1" w14:textId="43053C2D" w:rsidR="00307FAE" w:rsidRPr="00307FAE" w:rsidRDefault="00307FAE" w:rsidP="00307FAE">
      <w:r w:rsidRPr="00307FAE">
        <w:lastRenderedPageBreak/>
        <w:t>Finally, think about what daily life will look like inside the home. Beyond code compliance, what design elements will support residents’ independence, dignity, and well-being? That might mean wider doorways, durable finishes, quiet spaces for sensory regulation, or communal areas that encourage connection. A thoughtful design can empower people to thrive, not just get by.</w:t>
      </w:r>
    </w:p>
    <w:p w14:paraId="53498C1C" w14:textId="188F9D79" w:rsidR="00307FAE" w:rsidRPr="00307FAE" w:rsidRDefault="00307FAE" w:rsidP="00307FAE">
      <w:r w:rsidRPr="00307FAE">
        <w:t>Building for Belonging</w:t>
      </w:r>
    </w:p>
    <w:p w14:paraId="7B8E9A83" w14:textId="1BD69AC0" w:rsidR="00307FAE" w:rsidRPr="00307FAE" w:rsidRDefault="00307FAE" w:rsidP="00307FAE">
      <w:pPr>
        <w:rPr>
          <w:b/>
          <w:bCs/>
        </w:rPr>
      </w:pPr>
      <w:r w:rsidRPr="00307FAE">
        <w:rPr>
          <w:b/>
          <w:bCs/>
        </w:rPr>
        <w:t>Thinking like a developer means seeing the whole picture — people, funding, housing type, location, and design — and understanding how each piece connects. At CIL, our role is to help care providers and advocates navigate these complexities so they can focus on what matters most: supporting people to live full, meaningful lives as part of their communities.</w:t>
      </w:r>
    </w:p>
    <w:p w14:paraId="1306A1F1" w14:textId="77777777" w:rsidR="0044553C" w:rsidRDefault="0044553C" w:rsidP="00307FAE">
      <w:pPr>
        <w:pStyle w:val="Heading2"/>
      </w:pPr>
      <w:r>
        <w:t>Team News</w:t>
      </w:r>
    </w:p>
    <w:p w14:paraId="0A86570C" w14:textId="0E00375B" w:rsidR="0044553C" w:rsidRPr="0044553C" w:rsidRDefault="0044553C" w:rsidP="0044553C">
      <w:r w:rsidRPr="001670AE">
        <w:rPr>
          <w:b/>
          <w:bCs/>
        </w:rPr>
        <w:t>[Graphic Description:</w:t>
      </w:r>
      <w:r w:rsidRPr="001670AE">
        <w:t xml:space="preserve"> </w:t>
      </w:r>
      <w:r w:rsidR="001670AE" w:rsidRPr="001670AE">
        <w:t>T</w:t>
      </w:r>
      <w:r w:rsidR="001670AE" w:rsidRPr="001670AE">
        <w:t>his t</w:t>
      </w:r>
      <w:r w:rsidR="001670AE" w:rsidRPr="001670AE">
        <w:t>wo-page spread</w:t>
      </w:r>
      <w:r w:rsidR="001670AE" w:rsidRPr="001670AE">
        <w:t xml:space="preserve"> is</w:t>
      </w:r>
      <w:r w:rsidR="001670AE" w:rsidRPr="001670AE">
        <w:t xml:space="preserve"> split into teal on the left and blue on the right. The left page shows a large photo of four smiling men at the top and a circular group photo at the bottom. The right page features a circular portrait of a man near the top. The design uses clean blocks of color and circular photo frames.</w:t>
      </w:r>
      <w:r w:rsidR="001670AE" w:rsidRPr="001670AE">
        <w:rPr>
          <w:b/>
          <w:bCs/>
        </w:rPr>
        <w:t>]</w:t>
      </w:r>
    </w:p>
    <w:p w14:paraId="4DC525E1" w14:textId="77777777" w:rsidR="0044553C" w:rsidRPr="0044553C" w:rsidRDefault="0044553C" w:rsidP="0044553C">
      <w:pPr>
        <w:rPr>
          <w:b/>
          <w:bCs/>
        </w:rPr>
      </w:pPr>
      <w:r w:rsidRPr="0044553C">
        <w:rPr>
          <w:b/>
          <w:bCs/>
        </w:rPr>
        <w:t>Peter Benvie Retires After 24 Years with CIL</w:t>
      </w:r>
    </w:p>
    <w:p w14:paraId="1F4B1A68" w14:textId="77777777" w:rsidR="0044553C" w:rsidRPr="0044553C" w:rsidRDefault="0044553C" w:rsidP="0044553C">
      <w:r w:rsidRPr="0044553C">
        <w:t>With retirement on the horizon after 24</w:t>
      </w:r>
      <w:r w:rsidRPr="0044553C">
        <w:rPr>
          <w:rFonts w:ascii="Arial" w:hAnsi="Arial" w:cs="Arial"/>
        </w:rPr>
        <w:t> </w:t>
      </w:r>
      <w:r w:rsidRPr="0044553C">
        <w:t>years at CIL, Peter</w:t>
      </w:r>
      <w:r w:rsidRPr="0044553C">
        <w:rPr>
          <w:rFonts w:ascii="Arial" w:hAnsi="Arial" w:cs="Arial"/>
        </w:rPr>
        <w:t> </w:t>
      </w:r>
      <w:r w:rsidRPr="0044553C">
        <w:t>Benvie agreed to sit down and reflect on a working life that</w:t>
      </w:r>
      <w:r w:rsidRPr="0044553C">
        <w:rPr>
          <w:rFonts w:ascii="Aptos" w:hAnsi="Aptos" w:cs="Aptos"/>
        </w:rPr>
        <w:t>—</w:t>
      </w:r>
      <w:r w:rsidRPr="0044553C">
        <w:t>remarkably</w:t>
      </w:r>
      <w:r w:rsidRPr="0044553C">
        <w:rPr>
          <w:rFonts w:ascii="Aptos" w:hAnsi="Aptos" w:cs="Aptos"/>
        </w:rPr>
        <w:t>—</w:t>
      </w:r>
      <w:r w:rsidRPr="0044553C">
        <w:t>never included a commute.</w:t>
      </w:r>
    </w:p>
    <w:p w14:paraId="1F40D050" w14:textId="77777777" w:rsidR="0044553C" w:rsidRPr="0044553C" w:rsidRDefault="0044553C" w:rsidP="0044553C">
      <w:r w:rsidRPr="0044553C">
        <w:t xml:space="preserve">“From the day I left college, I’ve never commuted,” Peter recalls. That quirk of geography carried him from the Caribbean surf to Massachusetts </w:t>
      </w:r>
      <w:proofErr w:type="spellStart"/>
      <w:r w:rsidRPr="0044553C">
        <w:t>cul</w:t>
      </w:r>
      <w:proofErr w:type="spellEnd"/>
      <w:r w:rsidRPr="0044553C">
        <w:t xml:space="preserve"> de sacs—and, for the last two decades, to CIL’s mission of building homes for people with disabilities.</w:t>
      </w:r>
    </w:p>
    <w:p w14:paraId="14846050" w14:textId="77777777" w:rsidR="0044553C" w:rsidRPr="0044553C" w:rsidRDefault="0044553C" w:rsidP="0044553C">
      <w:r w:rsidRPr="0044553C">
        <w:t>CIL celebrated Peter and his retirement with a gathering at Black Eyed Sally’s in Hartford—an evening filled with stories, laughter, and appreciation for his contributions.</w:t>
      </w:r>
    </w:p>
    <w:p w14:paraId="356F88F9" w14:textId="654127A9" w:rsidR="0044553C" w:rsidRPr="0044553C" w:rsidRDefault="0044553C" w:rsidP="0044553C">
      <w:r w:rsidRPr="0044553C">
        <w:t>From rebuilding hurricane-ravaged resorts in the Caribbean to helping create more than 120 homes for people with disabilities across Massachusetts, Peter’s impact sure has been extraordinary.</w:t>
      </w:r>
    </w:p>
    <w:p w14:paraId="12E67CDF" w14:textId="77777777" w:rsidR="0044553C" w:rsidRPr="0044553C" w:rsidRDefault="0044553C" w:rsidP="0044553C">
      <w:pPr>
        <w:rPr>
          <w:i/>
          <w:iCs/>
        </w:rPr>
      </w:pPr>
      <w:r w:rsidRPr="0044553C">
        <w:rPr>
          <w:i/>
          <w:iCs/>
        </w:rPr>
        <w:t>Join us in thanking Peter and wishing him all the best as he trades his home office for a beach house on Florida’s Gulf Coast.</w:t>
      </w:r>
    </w:p>
    <w:p w14:paraId="69BAC422" w14:textId="77777777" w:rsidR="0044553C" w:rsidRPr="0044553C" w:rsidRDefault="0044553C" w:rsidP="0044553C">
      <w:pPr>
        <w:rPr>
          <w:b/>
          <w:bCs/>
        </w:rPr>
      </w:pPr>
      <w:r w:rsidRPr="0044553C">
        <w:rPr>
          <w:b/>
          <w:bCs/>
        </w:rPr>
        <w:t xml:space="preserve">Welcoming Jim to the Crew </w:t>
      </w:r>
    </w:p>
    <w:p w14:paraId="3D034057" w14:textId="77777777" w:rsidR="0044553C" w:rsidRPr="0044553C" w:rsidRDefault="0044553C" w:rsidP="0044553C">
      <w:pPr>
        <w:rPr>
          <w:i/>
          <w:iCs/>
        </w:rPr>
      </w:pPr>
      <w:r w:rsidRPr="0044553C">
        <w:rPr>
          <w:i/>
          <w:iCs/>
        </w:rPr>
        <w:t xml:space="preserve">Every </w:t>
      </w:r>
      <w:proofErr w:type="gramStart"/>
      <w:r w:rsidRPr="0044553C">
        <w:rPr>
          <w:i/>
          <w:iCs/>
        </w:rPr>
        <w:t>year at</w:t>
      </w:r>
      <w:proofErr w:type="gramEnd"/>
      <w:r w:rsidRPr="0044553C">
        <w:rPr>
          <w:i/>
          <w:iCs/>
        </w:rPr>
        <w:t xml:space="preserve"> CIL brings new faces, new projects, and new energy—but 2025 came with a particularly exciting addition: </w:t>
      </w:r>
    </w:p>
    <w:p w14:paraId="40C82A57" w14:textId="77777777" w:rsidR="0044553C" w:rsidRPr="0044553C" w:rsidRDefault="0044553C" w:rsidP="0044553C">
      <w:r w:rsidRPr="0044553C">
        <w:rPr>
          <w:i/>
          <w:iCs/>
        </w:rPr>
        <w:t xml:space="preserve">Jim Settembrino joined our team as Senior Business Developer. </w:t>
      </w:r>
    </w:p>
    <w:p w14:paraId="5A0D1230" w14:textId="77777777" w:rsidR="0044553C" w:rsidRPr="0044553C" w:rsidRDefault="0044553C" w:rsidP="0044553C">
      <w:r w:rsidRPr="0044553C">
        <w:t>Jim is already rolling up his sleeves to help us grow in the mid-Atlantic, with an early focus on Pennsylvania. From connecting with provider agencies to representing CIL at conferences, he’s making sure more people know about the work we do (and the impact we’re proud of).</w:t>
      </w:r>
    </w:p>
    <w:p w14:paraId="427F9953" w14:textId="77777777" w:rsidR="0044553C" w:rsidRPr="0044553C" w:rsidRDefault="0044553C" w:rsidP="0044553C">
      <w:r w:rsidRPr="0044553C">
        <w:t xml:space="preserve">Jim is no stranger to the disability services world. Before joining CIL, he founded Our Own Home in Pittsburgh, PA and later served as CEO of Supportive Concepts for Families, where he grew programs that supported independence and inclusion. Along the way, he forged lasting </w:t>
      </w:r>
      <w:r w:rsidRPr="0044553C">
        <w:lastRenderedPageBreak/>
        <w:t xml:space="preserve">relationships and developed a knack for guiding organizations through the tough stuff—housing, services, and everything in between. </w:t>
      </w:r>
    </w:p>
    <w:p w14:paraId="695C0706" w14:textId="3429CF7B" w:rsidR="0044553C" w:rsidRDefault="0044553C" w:rsidP="0044553C">
      <w:r w:rsidRPr="0044553C">
        <w:t>That wisdom and network now come with him to CIL, and we couldn’t be happier.</w:t>
      </w:r>
    </w:p>
    <w:p w14:paraId="4166FB86" w14:textId="4ACBD366" w:rsidR="0044553C" w:rsidRPr="0044553C" w:rsidRDefault="0044553C" w:rsidP="0044553C">
      <w:r w:rsidRPr="0044553C">
        <w:t xml:space="preserve">With Jim’s expertise and our shared vision, we’re ready to push our mission further, expand our reach, and continue proving that when people have the right home and </w:t>
      </w:r>
      <w:proofErr w:type="gramStart"/>
      <w:r w:rsidRPr="0044553C">
        <w:t>supports</w:t>
      </w:r>
      <w:proofErr w:type="gramEnd"/>
      <w:r w:rsidRPr="0044553C">
        <w:t>, whole communities thrive.</w:t>
      </w:r>
    </w:p>
    <w:p w14:paraId="15F34040" w14:textId="4826C955" w:rsidR="003B3A75" w:rsidRDefault="003B3A75" w:rsidP="00307FAE">
      <w:pPr>
        <w:pStyle w:val="Heading2"/>
      </w:pPr>
      <w:r>
        <w:t>Board of Directors</w:t>
      </w:r>
    </w:p>
    <w:p w14:paraId="790E6F71" w14:textId="35F6E34A" w:rsidR="0003083B" w:rsidRDefault="00297A85" w:rsidP="003B3A75">
      <w:r w:rsidRPr="001670AE">
        <w:rPr>
          <w:b/>
          <w:bCs/>
        </w:rPr>
        <w:t>[Graphic Description:</w:t>
      </w:r>
      <w:r w:rsidRPr="001670AE">
        <w:t xml:space="preserve"> </w:t>
      </w:r>
      <w:r w:rsidR="0003083B" w:rsidRPr="001670AE">
        <w:t>This spread features a list of CIL’s Board of Directors, including their titles and affiliations.</w:t>
      </w:r>
      <w:r w:rsidR="001670AE" w:rsidRPr="001670AE">
        <w:t xml:space="preserve"> Subtle images of stacked papers and the large number ‘2025’ appear faded in the background.</w:t>
      </w:r>
      <w:r w:rsidRPr="001670AE">
        <w:rPr>
          <w:b/>
          <w:bCs/>
        </w:rPr>
        <w:t>]</w:t>
      </w:r>
    </w:p>
    <w:p w14:paraId="2961DCA8" w14:textId="41B679B6" w:rsidR="003B3A75" w:rsidRDefault="003B3A75" w:rsidP="00297A85">
      <w:pPr>
        <w:pStyle w:val="Heading3"/>
      </w:pPr>
      <w:r>
        <w:t>Non-profit entities 202</w:t>
      </w:r>
      <w:r w:rsidR="0044553C">
        <w:t>5</w:t>
      </w:r>
    </w:p>
    <w:p w14:paraId="0E7AC704" w14:textId="3C5B784B" w:rsidR="003B3A75" w:rsidRDefault="003B3A75" w:rsidP="003B3A75">
      <w:r>
        <w:t>Kent Schwendy, President/CEO</w:t>
      </w:r>
    </w:p>
    <w:p w14:paraId="17318F64" w14:textId="77777777" w:rsidR="003B3A75" w:rsidRDefault="003B3A75" w:rsidP="003B3A75">
      <w:r>
        <w:t>President/CEO</w:t>
      </w:r>
    </w:p>
    <w:p w14:paraId="6356A5E0" w14:textId="77777777" w:rsidR="003B3A75" w:rsidRDefault="003B3A75" w:rsidP="003B3A75">
      <w:r>
        <w:t>CIL</w:t>
      </w:r>
      <w:r>
        <w:tab/>
      </w:r>
    </w:p>
    <w:p w14:paraId="72056C21" w14:textId="77777777" w:rsidR="003B3A75" w:rsidRDefault="003B3A75" w:rsidP="003B3A75">
      <w:r>
        <w:t>Jack Soos, Chair</w:t>
      </w:r>
    </w:p>
    <w:p w14:paraId="551231F0" w14:textId="77777777" w:rsidR="003B3A75" w:rsidRDefault="003B3A75" w:rsidP="003B3A75">
      <w:r>
        <w:t>Senior Director</w:t>
      </w:r>
    </w:p>
    <w:p w14:paraId="36129915" w14:textId="0539B24F" w:rsidR="003B3A75" w:rsidRDefault="0044553C" w:rsidP="003B3A75">
      <w:r>
        <w:t>Pratt &amp; Whitney</w:t>
      </w:r>
    </w:p>
    <w:p w14:paraId="252F7E97" w14:textId="78FCF829" w:rsidR="003B3A75" w:rsidRDefault="003B3A75" w:rsidP="003B3A75">
      <w:r>
        <w:t>Kelly Reyngold, Vice Chair</w:t>
      </w:r>
    </w:p>
    <w:p w14:paraId="2A181C5C" w14:textId="77777777" w:rsidR="003B3A75" w:rsidRDefault="003B3A75" w:rsidP="003B3A75">
      <w:r>
        <w:t>Controller</w:t>
      </w:r>
    </w:p>
    <w:p w14:paraId="217C9DF6" w14:textId="387EC8A4" w:rsidR="003B3A75" w:rsidRDefault="003B3A75" w:rsidP="003B3A75">
      <w:r>
        <w:t>ISO New England</w:t>
      </w:r>
    </w:p>
    <w:p w14:paraId="44C4993E" w14:textId="21454ECE" w:rsidR="003B3A75" w:rsidRDefault="003B3A75" w:rsidP="003B3A75">
      <w:r>
        <w:t>Gioia Zack, Immediate Past Chair</w:t>
      </w:r>
    </w:p>
    <w:p w14:paraId="4537C62D" w14:textId="7147C5A7" w:rsidR="003B3A75" w:rsidRDefault="0044553C" w:rsidP="003B3A75">
      <w:r>
        <w:t xml:space="preserve">SVP </w:t>
      </w:r>
      <w:r w:rsidR="003B3A75">
        <w:t xml:space="preserve">Economic Development </w:t>
      </w:r>
      <w:r>
        <w:t>Services</w:t>
      </w:r>
    </w:p>
    <w:p w14:paraId="07BA8059" w14:textId="1DBAB0B7" w:rsidR="003B3A75" w:rsidRDefault="0044553C" w:rsidP="003B3A75">
      <w:r>
        <w:t>Goman + York</w:t>
      </w:r>
    </w:p>
    <w:p w14:paraId="10B51518" w14:textId="2F95B248" w:rsidR="003B3A75" w:rsidRDefault="003B3A75" w:rsidP="003B3A75">
      <w:r>
        <w:t>Ruth Banta, Treasurer</w:t>
      </w:r>
    </w:p>
    <w:p w14:paraId="0DF6EABA" w14:textId="77777777" w:rsidR="003B3A75" w:rsidRDefault="003B3A75" w:rsidP="003B3A75">
      <w:r>
        <w:t>Retired</w:t>
      </w:r>
    </w:p>
    <w:p w14:paraId="54978D1A" w14:textId="77777777" w:rsidR="003B3A75" w:rsidRDefault="003B3A75" w:rsidP="003B3A75">
      <w:r>
        <w:t>Pathlight, Inc.</w:t>
      </w:r>
    </w:p>
    <w:p w14:paraId="70AE96E2" w14:textId="77777777" w:rsidR="003B3A75" w:rsidRDefault="003B3A75" w:rsidP="003B3A75">
      <w:r>
        <w:t>Joseph C. Black, Assistant Treasurer</w:t>
      </w:r>
    </w:p>
    <w:p w14:paraId="74DF4F57" w14:textId="77777777" w:rsidR="003B3A75" w:rsidRDefault="003B3A75" w:rsidP="003B3A75">
      <w:r>
        <w:t xml:space="preserve">Founder &amp; Pastor, </w:t>
      </w:r>
    </w:p>
    <w:p w14:paraId="35F3A488" w14:textId="77777777" w:rsidR="003B3A75" w:rsidRDefault="003B3A75" w:rsidP="003B3A75">
      <w:r>
        <w:t>Spirit and Truth Apostolic Church, Inc.</w:t>
      </w:r>
    </w:p>
    <w:p w14:paraId="7CEE79B2" w14:textId="6703D7A4" w:rsidR="003B3A75" w:rsidRDefault="003B3A75" w:rsidP="003B3A75">
      <w:r>
        <w:t>Maria Green, Secretary</w:t>
      </w:r>
    </w:p>
    <w:p w14:paraId="63BF8BD6" w14:textId="77777777" w:rsidR="003B3A75" w:rsidRDefault="003B3A75" w:rsidP="003B3A75">
      <w:r>
        <w:lastRenderedPageBreak/>
        <w:t>Vice President/CFO</w:t>
      </w:r>
    </w:p>
    <w:p w14:paraId="4664796B" w14:textId="77777777" w:rsidR="003B3A75" w:rsidRDefault="003B3A75" w:rsidP="003B3A75">
      <w:r>
        <w:t>CIL</w:t>
      </w:r>
    </w:p>
    <w:p w14:paraId="75FD2336" w14:textId="5DCA57A3" w:rsidR="003B3A75" w:rsidRDefault="003B3A75" w:rsidP="003B3A75">
      <w:r>
        <w:t>Paul Sanford, Director</w:t>
      </w:r>
    </w:p>
    <w:p w14:paraId="0B3CC0A9" w14:textId="77777777" w:rsidR="003B3A75" w:rsidRDefault="003B3A75" w:rsidP="003B3A75">
      <w:r>
        <w:t>Retired, Former Executive Vice President, Operations, The Cigna Group</w:t>
      </w:r>
    </w:p>
    <w:p w14:paraId="0BFB8C2B" w14:textId="72C0BC47" w:rsidR="003B3A75" w:rsidRDefault="003B3A75" w:rsidP="003B3A75">
      <w:r>
        <w:t>Patrick Pinnell, Director</w:t>
      </w:r>
    </w:p>
    <w:p w14:paraId="4C3CF329" w14:textId="77777777" w:rsidR="003B3A75" w:rsidRDefault="003B3A75" w:rsidP="003B3A75">
      <w:r>
        <w:t>Owner, Patrick L. Pinnell, FAIA/Architecture &amp; Town Planning</w:t>
      </w:r>
    </w:p>
    <w:p w14:paraId="21243BC4" w14:textId="62ADD63F" w:rsidR="003B3A75" w:rsidRDefault="003B3A75" w:rsidP="00297A85">
      <w:pPr>
        <w:pStyle w:val="Heading3"/>
      </w:pPr>
      <w:r>
        <w:t xml:space="preserve">For-profit </w:t>
      </w:r>
      <w:r w:rsidR="00297A85">
        <w:t>E</w:t>
      </w:r>
      <w:r>
        <w:t>ntities 2024</w:t>
      </w:r>
    </w:p>
    <w:p w14:paraId="59EC5A9B" w14:textId="61556080" w:rsidR="003B3A75" w:rsidRDefault="003B3A75" w:rsidP="003B3A75">
      <w:r>
        <w:t>Kent Schwendy, President/CEO</w:t>
      </w:r>
    </w:p>
    <w:p w14:paraId="5B5CDCB3" w14:textId="77777777" w:rsidR="003B3A75" w:rsidRDefault="003B3A75" w:rsidP="003B3A75">
      <w:r>
        <w:t>President/CEO</w:t>
      </w:r>
    </w:p>
    <w:p w14:paraId="148BAA8D" w14:textId="77777777" w:rsidR="003B3A75" w:rsidRDefault="003B3A75" w:rsidP="003B3A75">
      <w:r>
        <w:t>CIL</w:t>
      </w:r>
      <w:r>
        <w:tab/>
      </w:r>
      <w:r>
        <w:tab/>
      </w:r>
    </w:p>
    <w:p w14:paraId="13D71761" w14:textId="4F0DF2A6" w:rsidR="003B3A75" w:rsidRDefault="003B3A75" w:rsidP="003B3A75">
      <w:r>
        <w:t>Michael Goman, Chair</w:t>
      </w:r>
    </w:p>
    <w:p w14:paraId="3DA897CA" w14:textId="006F898B" w:rsidR="003B3A75" w:rsidRDefault="003B3A75" w:rsidP="003B3A75">
      <w:r>
        <w:t>Principal</w:t>
      </w:r>
    </w:p>
    <w:p w14:paraId="07D3F907" w14:textId="57CE365F" w:rsidR="003B3A75" w:rsidRDefault="003B3A75" w:rsidP="003B3A75">
      <w:proofErr w:type="spellStart"/>
      <w:r>
        <w:t>Goman+York</w:t>
      </w:r>
      <w:proofErr w:type="spellEnd"/>
    </w:p>
    <w:p w14:paraId="64207A60" w14:textId="7112DCD7" w:rsidR="003B3A75" w:rsidRDefault="003B3A75" w:rsidP="003B3A75">
      <w:r>
        <w:t>Gioia Zack, Vice Chair &amp; Treasurer</w:t>
      </w:r>
    </w:p>
    <w:p w14:paraId="4D03A378" w14:textId="5046E61D" w:rsidR="003B3A75" w:rsidRDefault="0044553C" w:rsidP="003B3A75">
      <w:r>
        <w:t xml:space="preserve">SVP </w:t>
      </w:r>
      <w:r w:rsidR="003B3A75">
        <w:t xml:space="preserve">Economic Development </w:t>
      </w:r>
      <w:r>
        <w:t>Services</w:t>
      </w:r>
    </w:p>
    <w:p w14:paraId="1FA31055" w14:textId="03DC19C4" w:rsidR="003B3A75" w:rsidRDefault="0044553C" w:rsidP="003B3A75">
      <w:r>
        <w:t>Goman + York</w:t>
      </w:r>
    </w:p>
    <w:p w14:paraId="6525C557" w14:textId="03AC6506" w:rsidR="003B3A75" w:rsidRDefault="003B3A75" w:rsidP="003B3A75">
      <w:r>
        <w:t xml:space="preserve"> William Farley, Director (Founding Chair)</w:t>
      </w:r>
    </w:p>
    <w:p w14:paraId="75107C4F" w14:textId="77686452" w:rsidR="003B3A75" w:rsidRDefault="003B3A75" w:rsidP="003B3A75">
      <w:r>
        <w:t>Retired, President</w:t>
      </w:r>
    </w:p>
    <w:p w14:paraId="147DDD82" w14:textId="42CD62B6" w:rsidR="003B3A75" w:rsidRDefault="003B3A75" w:rsidP="003B3A75">
      <w:r>
        <w:t>CRBE Ct Region</w:t>
      </w:r>
    </w:p>
    <w:p w14:paraId="26BE56FD" w14:textId="67FA6AEA" w:rsidR="003B3A75" w:rsidRDefault="003B3A75" w:rsidP="003B3A75">
      <w:r>
        <w:t>Maria Green, Secretary</w:t>
      </w:r>
    </w:p>
    <w:p w14:paraId="6F1BFD67" w14:textId="257085E4" w:rsidR="003B3A75" w:rsidRDefault="003B3A75" w:rsidP="003B3A75">
      <w:r>
        <w:t>Vice President/CFO</w:t>
      </w:r>
    </w:p>
    <w:p w14:paraId="1FD53BED" w14:textId="52E59F72" w:rsidR="003B3A75" w:rsidRDefault="003B3A75" w:rsidP="003B3A75">
      <w:r>
        <w:t>CIL</w:t>
      </w:r>
    </w:p>
    <w:p w14:paraId="150D1898" w14:textId="210D6D75" w:rsidR="003B3A75" w:rsidRDefault="003B3A75" w:rsidP="003B3A75">
      <w:r>
        <w:t>Samantha Van</w:t>
      </w:r>
      <w:r w:rsidR="0003083B">
        <w:t>S</w:t>
      </w:r>
      <w:r>
        <w:t>choick*, Benefit Officer</w:t>
      </w:r>
    </w:p>
    <w:p w14:paraId="3275310C" w14:textId="147A70E3" w:rsidR="003B3A75" w:rsidRDefault="003B3A75" w:rsidP="003B3A75">
      <w:r>
        <w:t>VP Of Strategic Partnerships</w:t>
      </w:r>
    </w:p>
    <w:p w14:paraId="54E76B2E" w14:textId="5206539F" w:rsidR="003B3A75" w:rsidRDefault="003B3A75" w:rsidP="003B3A75">
      <w:r>
        <w:t>CIL</w:t>
      </w:r>
    </w:p>
    <w:p w14:paraId="3A39649E" w14:textId="32D38E94" w:rsidR="003B3A75" w:rsidRDefault="003B3A75" w:rsidP="003B3A75">
      <w:r>
        <w:t>Joseph C. Black, Director</w:t>
      </w:r>
    </w:p>
    <w:p w14:paraId="46D5CDE6" w14:textId="335F5A6A" w:rsidR="003B3A75" w:rsidRDefault="003B3A75" w:rsidP="003B3A75">
      <w:r>
        <w:t>Founder &amp; Pastor</w:t>
      </w:r>
    </w:p>
    <w:p w14:paraId="1348DBDB" w14:textId="16E23F1D" w:rsidR="003B3A75" w:rsidRDefault="003B3A75" w:rsidP="003B3A75">
      <w:r>
        <w:t>Spirit And Truth Apostolic Church, Inc.</w:t>
      </w:r>
    </w:p>
    <w:p w14:paraId="0FD967B4" w14:textId="7C01772B" w:rsidR="003B3A75" w:rsidRDefault="003B3A75" w:rsidP="003B3A75">
      <w:r>
        <w:t>Patrick Pinnell, Director</w:t>
      </w:r>
    </w:p>
    <w:p w14:paraId="226C16F8" w14:textId="0E8B3D60" w:rsidR="003B3A75" w:rsidRDefault="003B3A75" w:rsidP="003B3A75">
      <w:r>
        <w:lastRenderedPageBreak/>
        <w:t>Owner, Patrick L. Pinnell, Faia/Architecture &amp; Town Planning</w:t>
      </w:r>
    </w:p>
    <w:p w14:paraId="73811896" w14:textId="4B83AC7E" w:rsidR="003B3A75" w:rsidRDefault="003B3A75" w:rsidP="003B3A75">
      <w:pPr>
        <w:pStyle w:val="Heading2"/>
      </w:pPr>
      <w:r>
        <w:t xml:space="preserve">Back </w:t>
      </w:r>
      <w:r w:rsidR="00297A85">
        <w:t>Cover</w:t>
      </w:r>
    </w:p>
    <w:p w14:paraId="4176E08A" w14:textId="59EC0F34" w:rsidR="003B3A75" w:rsidRDefault="0003083B" w:rsidP="003B3A75">
      <w:r>
        <w:t xml:space="preserve">The back page </w:t>
      </w:r>
      <w:r w:rsidR="0044553C">
        <w:t>is a clean page with a dark green background color</w:t>
      </w:r>
      <w:r>
        <w:t xml:space="preserve">. </w:t>
      </w:r>
      <w:r w:rsidR="0044553C">
        <w:t>In the bottom right hand corner, the CIL logo is placed within a lighter green circle, w</w:t>
      </w:r>
      <w:r>
        <w:t>ith text</w:t>
      </w:r>
      <w:r w:rsidR="0044553C">
        <w:t xml:space="preserve"> below it</w:t>
      </w:r>
      <w:r>
        <w:t xml:space="preserve"> reading: </w:t>
      </w:r>
      <w:r w:rsidR="0044553C">
        <w:t>“Corporation for Independent Living” followed by “</w:t>
      </w:r>
      <w:r>
        <w:t xml:space="preserve">57 Charter Oak Avenue, Suite A, Hartford, CT 06106," </w:t>
      </w:r>
      <w:r w:rsidR="00CE7239">
        <w:t>and then</w:t>
      </w:r>
      <w:r>
        <w:t xml:space="preserve"> the phone number "(860) 563-6011" and the website "www.cil.org." </w:t>
      </w:r>
    </w:p>
    <w:p w14:paraId="7FF951A2" w14:textId="77777777" w:rsidR="00297A85" w:rsidRDefault="00297A85" w:rsidP="003B3A75"/>
    <w:p w14:paraId="7C3DFCFB" w14:textId="163512C3" w:rsidR="00297A85" w:rsidRPr="003B3A75" w:rsidRDefault="00297A85" w:rsidP="003B3A75">
      <w:r>
        <w:t xml:space="preserve">Please let us know if there is anything we can do to improve the accessibility of this plain text version of our annual report by emailing </w:t>
      </w:r>
      <w:hyperlink r:id="rId10" w:history="1">
        <w:r w:rsidRPr="00FC7A4C">
          <w:rPr>
            <w:rStyle w:val="Hyperlink"/>
          </w:rPr>
          <w:t>sam@cil.org</w:t>
        </w:r>
      </w:hyperlink>
      <w:r>
        <w:t xml:space="preserve">. </w:t>
      </w:r>
    </w:p>
    <w:p w14:paraId="1EFB66FA" w14:textId="77777777" w:rsidR="003B3A75" w:rsidRPr="003B3A75" w:rsidRDefault="003B3A75" w:rsidP="003B3A75"/>
    <w:sectPr w:rsidR="003B3A75" w:rsidRPr="003B3A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5DE9" w14:textId="77777777" w:rsidR="0044553C" w:rsidRDefault="0044553C" w:rsidP="0044553C">
      <w:pPr>
        <w:spacing w:after="0" w:line="240" w:lineRule="auto"/>
      </w:pPr>
      <w:r>
        <w:separator/>
      </w:r>
    </w:p>
  </w:endnote>
  <w:endnote w:type="continuationSeparator" w:id="0">
    <w:p w14:paraId="0E8539CA" w14:textId="77777777" w:rsidR="0044553C" w:rsidRDefault="0044553C" w:rsidP="0044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8EB" w14:textId="77777777" w:rsidR="0044553C" w:rsidRDefault="0044553C" w:rsidP="0044553C">
      <w:pPr>
        <w:spacing w:after="0" w:line="240" w:lineRule="auto"/>
      </w:pPr>
      <w:r>
        <w:separator/>
      </w:r>
    </w:p>
  </w:footnote>
  <w:footnote w:type="continuationSeparator" w:id="0">
    <w:p w14:paraId="33A489CA" w14:textId="77777777" w:rsidR="0044553C" w:rsidRDefault="0044553C" w:rsidP="00445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22B6"/>
    <w:multiLevelType w:val="hybridMultilevel"/>
    <w:tmpl w:val="CDE0B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55D4C"/>
    <w:multiLevelType w:val="hybridMultilevel"/>
    <w:tmpl w:val="7018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F30"/>
    <w:multiLevelType w:val="hybridMultilevel"/>
    <w:tmpl w:val="E116A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1070A"/>
    <w:multiLevelType w:val="hybridMultilevel"/>
    <w:tmpl w:val="AB52F7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125704">
    <w:abstractNumId w:val="1"/>
  </w:num>
  <w:num w:numId="2" w16cid:durableId="1807812533">
    <w:abstractNumId w:val="3"/>
  </w:num>
  <w:num w:numId="3" w16cid:durableId="1090126623">
    <w:abstractNumId w:val="2"/>
  </w:num>
  <w:num w:numId="4" w16cid:durableId="115830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9E"/>
    <w:rsid w:val="000274E0"/>
    <w:rsid w:val="0003083B"/>
    <w:rsid w:val="00042773"/>
    <w:rsid w:val="000C4663"/>
    <w:rsid w:val="001670AE"/>
    <w:rsid w:val="00264AEE"/>
    <w:rsid w:val="00297A85"/>
    <w:rsid w:val="00307FAE"/>
    <w:rsid w:val="003B3A75"/>
    <w:rsid w:val="003F3202"/>
    <w:rsid w:val="0044553C"/>
    <w:rsid w:val="004A15C0"/>
    <w:rsid w:val="00535010"/>
    <w:rsid w:val="006F7170"/>
    <w:rsid w:val="00723FF7"/>
    <w:rsid w:val="007B42B3"/>
    <w:rsid w:val="007B6A38"/>
    <w:rsid w:val="008804AB"/>
    <w:rsid w:val="00947776"/>
    <w:rsid w:val="009F78BF"/>
    <w:rsid w:val="00A42A2D"/>
    <w:rsid w:val="00AE6CEF"/>
    <w:rsid w:val="00B105CC"/>
    <w:rsid w:val="00B66310"/>
    <w:rsid w:val="00BC7C89"/>
    <w:rsid w:val="00BD703F"/>
    <w:rsid w:val="00C12B76"/>
    <w:rsid w:val="00C4059E"/>
    <w:rsid w:val="00CA0402"/>
    <w:rsid w:val="00CE7239"/>
    <w:rsid w:val="00D43EEB"/>
    <w:rsid w:val="00DC5709"/>
    <w:rsid w:val="00DF5DE1"/>
    <w:rsid w:val="00EC7F48"/>
    <w:rsid w:val="00F32F29"/>
    <w:rsid w:val="00FB1FEB"/>
    <w:rsid w:val="00FD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475A"/>
  <w15:chartTrackingRefBased/>
  <w15:docId w15:val="{318341A8-AE13-4F6D-95EF-8A9C61D5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0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0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0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0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0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0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59E"/>
    <w:rPr>
      <w:rFonts w:eastAsiaTheme="majorEastAsia" w:cstheme="majorBidi"/>
      <w:color w:val="272727" w:themeColor="text1" w:themeTint="D8"/>
    </w:rPr>
  </w:style>
  <w:style w:type="paragraph" w:styleId="Title">
    <w:name w:val="Title"/>
    <w:basedOn w:val="Normal"/>
    <w:next w:val="Normal"/>
    <w:link w:val="TitleChar"/>
    <w:uiPriority w:val="10"/>
    <w:qFormat/>
    <w:rsid w:val="00C40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59E"/>
    <w:pPr>
      <w:spacing w:before="160"/>
      <w:jc w:val="center"/>
    </w:pPr>
    <w:rPr>
      <w:i/>
      <w:iCs/>
      <w:color w:val="404040" w:themeColor="text1" w:themeTint="BF"/>
    </w:rPr>
  </w:style>
  <w:style w:type="character" w:customStyle="1" w:styleId="QuoteChar">
    <w:name w:val="Quote Char"/>
    <w:basedOn w:val="DefaultParagraphFont"/>
    <w:link w:val="Quote"/>
    <w:uiPriority w:val="29"/>
    <w:rsid w:val="00C4059E"/>
    <w:rPr>
      <w:i/>
      <w:iCs/>
      <w:color w:val="404040" w:themeColor="text1" w:themeTint="BF"/>
    </w:rPr>
  </w:style>
  <w:style w:type="paragraph" w:styleId="ListParagraph">
    <w:name w:val="List Paragraph"/>
    <w:basedOn w:val="Normal"/>
    <w:uiPriority w:val="34"/>
    <w:qFormat/>
    <w:rsid w:val="00C4059E"/>
    <w:pPr>
      <w:ind w:left="720"/>
      <w:contextualSpacing/>
    </w:pPr>
  </w:style>
  <w:style w:type="character" w:styleId="IntenseEmphasis">
    <w:name w:val="Intense Emphasis"/>
    <w:basedOn w:val="DefaultParagraphFont"/>
    <w:uiPriority w:val="21"/>
    <w:qFormat/>
    <w:rsid w:val="00C4059E"/>
    <w:rPr>
      <w:i/>
      <w:iCs/>
      <w:color w:val="0F4761" w:themeColor="accent1" w:themeShade="BF"/>
    </w:rPr>
  </w:style>
  <w:style w:type="paragraph" w:styleId="IntenseQuote">
    <w:name w:val="Intense Quote"/>
    <w:basedOn w:val="Normal"/>
    <w:next w:val="Normal"/>
    <w:link w:val="IntenseQuoteChar"/>
    <w:uiPriority w:val="30"/>
    <w:qFormat/>
    <w:rsid w:val="00C40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59E"/>
    <w:rPr>
      <w:i/>
      <w:iCs/>
      <w:color w:val="0F4761" w:themeColor="accent1" w:themeShade="BF"/>
    </w:rPr>
  </w:style>
  <w:style w:type="character" w:styleId="IntenseReference">
    <w:name w:val="Intense Reference"/>
    <w:basedOn w:val="DefaultParagraphFont"/>
    <w:uiPriority w:val="32"/>
    <w:qFormat/>
    <w:rsid w:val="00C4059E"/>
    <w:rPr>
      <w:b/>
      <w:bCs/>
      <w:smallCaps/>
      <w:color w:val="0F4761" w:themeColor="accent1" w:themeShade="BF"/>
      <w:spacing w:val="5"/>
    </w:rPr>
  </w:style>
  <w:style w:type="character" w:styleId="CommentReference">
    <w:name w:val="annotation reference"/>
    <w:basedOn w:val="DefaultParagraphFont"/>
    <w:uiPriority w:val="99"/>
    <w:semiHidden/>
    <w:unhideWhenUsed/>
    <w:rsid w:val="00947776"/>
    <w:rPr>
      <w:sz w:val="16"/>
      <w:szCs w:val="16"/>
    </w:rPr>
  </w:style>
  <w:style w:type="paragraph" w:styleId="CommentText">
    <w:name w:val="annotation text"/>
    <w:basedOn w:val="Normal"/>
    <w:link w:val="CommentTextChar"/>
    <w:uiPriority w:val="99"/>
    <w:unhideWhenUsed/>
    <w:rsid w:val="00947776"/>
    <w:pPr>
      <w:spacing w:line="240" w:lineRule="auto"/>
    </w:pPr>
    <w:rPr>
      <w:sz w:val="20"/>
      <w:szCs w:val="20"/>
    </w:rPr>
  </w:style>
  <w:style w:type="character" w:customStyle="1" w:styleId="CommentTextChar">
    <w:name w:val="Comment Text Char"/>
    <w:basedOn w:val="DefaultParagraphFont"/>
    <w:link w:val="CommentText"/>
    <w:uiPriority w:val="99"/>
    <w:rsid w:val="00947776"/>
    <w:rPr>
      <w:sz w:val="20"/>
      <w:szCs w:val="20"/>
    </w:rPr>
  </w:style>
  <w:style w:type="paragraph" w:styleId="CommentSubject">
    <w:name w:val="annotation subject"/>
    <w:basedOn w:val="CommentText"/>
    <w:next w:val="CommentText"/>
    <w:link w:val="CommentSubjectChar"/>
    <w:uiPriority w:val="99"/>
    <w:semiHidden/>
    <w:unhideWhenUsed/>
    <w:rsid w:val="00947776"/>
    <w:rPr>
      <w:b/>
      <w:bCs/>
    </w:rPr>
  </w:style>
  <w:style w:type="character" w:customStyle="1" w:styleId="CommentSubjectChar">
    <w:name w:val="Comment Subject Char"/>
    <w:basedOn w:val="CommentTextChar"/>
    <w:link w:val="CommentSubject"/>
    <w:uiPriority w:val="99"/>
    <w:semiHidden/>
    <w:rsid w:val="00947776"/>
    <w:rPr>
      <w:b/>
      <w:bCs/>
      <w:sz w:val="20"/>
      <w:szCs w:val="20"/>
    </w:rPr>
  </w:style>
  <w:style w:type="character" w:styleId="Hyperlink">
    <w:name w:val="Hyperlink"/>
    <w:basedOn w:val="DefaultParagraphFont"/>
    <w:uiPriority w:val="99"/>
    <w:unhideWhenUsed/>
    <w:rsid w:val="00297A85"/>
    <w:rPr>
      <w:color w:val="467886" w:themeColor="hyperlink"/>
      <w:u w:val="single"/>
    </w:rPr>
  </w:style>
  <w:style w:type="character" w:styleId="UnresolvedMention">
    <w:name w:val="Unresolved Mention"/>
    <w:basedOn w:val="DefaultParagraphFont"/>
    <w:uiPriority w:val="99"/>
    <w:semiHidden/>
    <w:unhideWhenUsed/>
    <w:rsid w:val="00297A85"/>
    <w:rPr>
      <w:color w:val="605E5C"/>
      <w:shd w:val="clear" w:color="auto" w:fill="E1DFDD"/>
    </w:rPr>
  </w:style>
  <w:style w:type="paragraph" w:styleId="Header">
    <w:name w:val="header"/>
    <w:basedOn w:val="Normal"/>
    <w:link w:val="HeaderChar"/>
    <w:uiPriority w:val="99"/>
    <w:unhideWhenUsed/>
    <w:rsid w:val="00445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53C"/>
  </w:style>
  <w:style w:type="paragraph" w:styleId="Footer">
    <w:name w:val="footer"/>
    <w:basedOn w:val="Normal"/>
    <w:link w:val="FooterChar"/>
    <w:uiPriority w:val="99"/>
    <w:unhideWhenUsed/>
    <w:rsid w:val="00445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m@cil.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ED2D2C04C7840A30317CCD6C7AD23" ma:contentTypeVersion="27" ma:contentTypeDescription="Create a new document." ma:contentTypeScope="" ma:versionID="2bb5b29944f58481442638d6a6d825a7">
  <xsd:schema xmlns:xsd="http://www.w3.org/2001/XMLSchema" xmlns:xs="http://www.w3.org/2001/XMLSchema" xmlns:p="http://schemas.microsoft.com/office/2006/metadata/properties" xmlns:ns2="60cfd6aa-5ad9-4a58-ba93-9cdb8c95e3ed" xmlns:ns3="163429c8-5c82-432b-8c2a-6ca512fb1d39" xmlns:ns4="http://schemas.microsoft.com/sharepoint/v3/fields" targetNamespace="http://schemas.microsoft.com/office/2006/metadata/properties" ma:root="true" ma:fieldsID="3fccc78602cdb008ad416b02fdedb804" ns2:_="" ns3:_="" ns4:_="">
    <xsd:import namespace="60cfd6aa-5ad9-4a58-ba93-9cdb8c95e3ed"/>
    <xsd:import namespace="163429c8-5c82-432b-8c2a-6ca512fb1d39"/>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4:_Contributor" minOccurs="0"/>
                <xsd:element ref="ns4:_LastPrinted" minOccurs="0"/>
                <xsd:element ref="ns4:_Revision" minOccurs="0"/>
                <xsd:element ref="ns4:_Status" minOccurs="0"/>
                <xsd:element ref="ns4:_Version" minOccurs="0"/>
                <xsd:element ref="ns2:MediaServiceObjectDetectorVersions" minOccurs="0"/>
                <xsd:element ref="ns2:MediaServiceSearchProperties" minOccurs="0"/>
                <xsd:element ref="ns2:Access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fd6aa-5ad9-4a58-ba93-9cdb8c95e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5b83e9-6f47-4919-98fc-1ac29ea50e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AccessedBy" ma:index="31" nillable="true" ma:displayName="Accessed By" ma:format="Dropdown" ma:list="UserInfo" ma:SharePointGroup="0" ma:internalName="Access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429c8-5c82-432b-8c2a-6ca512fb1d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b4b2ff-7f8d-4dca-97ed-8ff85b1b95c0}" ma:internalName="TaxCatchAll" ma:showField="CatchAllData" ma:web="163429c8-5c82-432b-8c2a-6ca512fb1d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24" nillable="true" ma:displayName="Contributor" ma:description="One or more people or organizations that contributed to this resource" ma:internalName="_Contributor">
      <xsd:simpleType>
        <xsd:restriction base="dms:Note">
          <xsd:maxLength value="255"/>
        </xsd:restriction>
      </xsd:simpleType>
    </xsd:element>
    <xsd:element name="_LastPrinted" ma:index="25" nillable="true" ma:displayName="Last Printed" ma:format="DateTime" ma:internalName="_LastPrinted">
      <xsd:simpleType>
        <xsd:restriction base="dms:DateTime"/>
      </xsd:simpleType>
    </xsd:element>
    <xsd:element name="_Revision" ma:index="26" nillable="true" ma:displayName="Revision" ma:internalName="_Revision">
      <xsd:simpleType>
        <xsd:restriction base="dms:Text"/>
      </xsd:simpleType>
    </xsd:element>
    <xsd:element name="_Status" ma:index="27"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Version" ma:index="2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3429c8-5c82-432b-8c2a-6ca512fb1d39" xsi:nil="true"/>
    <lcf76f155ced4ddcb4097134ff3c332f xmlns="60cfd6aa-5ad9-4a58-ba93-9cdb8c95e3ed">
      <Terms xmlns="http://schemas.microsoft.com/office/infopath/2007/PartnerControls"/>
    </lcf76f155ced4ddcb4097134ff3c332f>
    <_Version xmlns="http://schemas.microsoft.com/sharepoint/v3/fields" xsi:nil="true"/>
    <_LastPrinted xmlns="http://schemas.microsoft.com/sharepoint/v3/fields" xsi:nil="true"/>
    <_Status xmlns="http://schemas.microsoft.com/sharepoint/v3/fields">Not Started</_Status>
    <_Revision xmlns="http://schemas.microsoft.com/sharepoint/v3/fields" xsi:nil="true"/>
    <_Contributor xmlns="http://schemas.microsoft.com/sharepoint/v3/fields" xsi:nil="true"/>
    <AccessedBy xmlns="60cfd6aa-5ad9-4a58-ba93-9cdb8c95e3ed">
      <UserInfo>
        <DisplayName/>
        <AccountId xsi:nil="true"/>
        <AccountType/>
      </UserInfo>
    </AccessedBy>
  </documentManagement>
</p:properties>
</file>

<file path=customXml/itemProps1.xml><?xml version="1.0" encoding="utf-8"?>
<ds:datastoreItem xmlns:ds="http://schemas.openxmlformats.org/officeDocument/2006/customXml" ds:itemID="{7DBB3AC9-3A85-42AD-8CAE-9B173FCE3B79}">
  <ds:schemaRefs>
    <ds:schemaRef ds:uri="http://schemas.microsoft.com/sharepoint/v3/contenttype/forms"/>
  </ds:schemaRefs>
</ds:datastoreItem>
</file>

<file path=customXml/itemProps2.xml><?xml version="1.0" encoding="utf-8"?>
<ds:datastoreItem xmlns:ds="http://schemas.openxmlformats.org/officeDocument/2006/customXml" ds:itemID="{C75684D4-4D9B-4C03-A335-7E737D8E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fd6aa-5ad9-4a58-ba93-9cdb8c95e3ed"/>
    <ds:schemaRef ds:uri="163429c8-5c82-432b-8c2a-6ca512fb1d3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1D47A-BE83-4F7A-86A8-0D4E283A635F}">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sharepoint/v3/fields"/>
    <ds:schemaRef ds:uri="60cfd6aa-5ad9-4a58-ba93-9cdb8c95e3ed"/>
    <ds:schemaRef ds:uri="http://www.w3.org/XML/1998/namespace"/>
    <ds:schemaRef ds:uri="http://purl.org/dc/dcmitype/"/>
    <ds:schemaRef ds:uri="http://schemas.microsoft.com/office/infopath/2007/PartnerControls"/>
    <ds:schemaRef ds:uri="163429c8-5c82-432b-8c2a-6ca512fb1d3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3799</Words>
  <Characters>21657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Lajoie</dc:creator>
  <cp:keywords/>
  <dc:description/>
  <cp:lastModifiedBy>Alyssa Lajoie</cp:lastModifiedBy>
  <cp:revision>5</cp:revision>
  <dcterms:created xsi:type="dcterms:W3CDTF">2025-12-04T21:31:00Z</dcterms:created>
  <dcterms:modified xsi:type="dcterms:W3CDTF">2025-12-08T16:02:00Z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0x010100B62ED2D2C04C7840A30317CCD6C7AD23</vt:lpwstr>
  </property>
  <property fmtid="{D5CDD505-2E9C-101B-9397-08002B2CF9AE}" pid="3" name="MediaServiceImageTags">
    <vt:lpwstr/>
  </property>
</Properties>
</file>